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FB" w:rsidRDefault="00902293" w:rsidP="00F246C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 к годовому отчету о финансировании, итогах реализации и оценке эффективности муниципальной программы «Управление муниципальными финансами городского округа г. Бор», утвержденной</w:t>
      </w:r>
      <w:r w:rsidR="00232D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 администрации городского округа г.Бор</w:t>
      </w:r>
    </w:p>
    <w:p w:rsidR="00902293" w:rsidRDefault="00887F09" w:rsidP="00F246C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02293">
        <w:rPr>
          <w:rFonts w:ascii="Times New Roman" w:hAnsi="Times New Roman"/>
          <w:sz w:val="28"/>
          <w:szCs w:val="28"/>
        </w:rPr>
        <w:t xml:space="preserve">от 10.11.2014 года № 5287 </w:t>
      </w:r>
    </w:p>
    <w:p w:rsidR="00902293" w:rsidRDefault="00DB59DC" w:rsidP="00F246C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2021</w:t>
      </w:r>
      <w:r w:rsidR="00902293">
        <w:rPr>
          <w:rFonts w:ascii="Times New Roman" w:hAnsi="Times New Roman"/>
          <w:sz w:val="28"/>
          <w:szCs w:val="28"/>
        </w:rPr>
        <w:t xml:space="preserve"> год</w:t>
      </w:r>
    </w:p>
    <w:p w:rsidR="00EB7637" w:rsidRPr="005C794A" w:rsidRDefault="00EB7637" w:rsidP="00EB76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19A1">
        <w:rPr>
          <w:sz w:val="28"/>
          <w:szCs w:val="28"/>
        </w:rPr>
        <w:t xml:space="preserve">Цели и задачи программы определены в соответствии с Основными направлениями бюджетной и налоговой политики  городского округа город Бор </w:t>
      </w:r>
      <w:r w:rsidRPr="005C794A">
        <w:rPr>
          <w:sz w:val="28"/>
          <w:szCs w:val="28"/>
        </w:rPr>
        <w:t xml:space="preserve">на </w:t>
      </w:r>
      <w:r w:rsidR="00A54C9F">
        <w:rPr>
          <w:sz w:val="28"/>
          <w:szCs w:val="28"/>
        </w:rPr>
        <w:t>2021</w:t>
      </w:r>
      <w:r w:rsidRPr="005C794A">
        <w:rPr>
          <w:sz w:val="28"/>
          <w:szCs w:val="28"/>
        </w:rPr>
        <w:t xml:space="preserve"> год и плановый период </w:t>
      </w:r>
      <w:r w:rsidR="00A54C9F">
        <w:rPr>
          <w:sz w:val="28"/>
          <w:szCs w:val="28"/>
        </w:rPr>
        <w:t>2022 и 2023</w:t>
      </w:r>
      <w:r w:rsidRPr="005C794A">
        <w:rPr>
          <w:sz w:val="28"/>
          <w:szCs w:val="28"/>
        </w:rPr>
        <w:t xml:space="preserve"> годов</w:t>
      </w:r>
      <w:r w:rsidRPr="0051100E">
        <w:rPr>
          <w:sz w:val="28"/>
          <w:szCs w:val="28"/>
        </w:rPr>
        <w:t xml:space="preserve">, утвержденными постановлением администрации городского округа город Бор </w:t>
      </w:r>
      <w:r w:rsidRPr="005C794A">
        <w:rPr>
          <w:sz w:val="28"/>
          <w:szCs w:val="28"/>
        </w:rPr>
        <w:t xml:space="preserve">от </w:t>
      </w:r>
      <w:r w:rsidR="00A54C9F" w:rsidRPr="004463FF">
        <w:rPr>
          <w:sz w:val="28"/>
          <w:szCs w:val="28"/>
        </w:rPr>
        <w:t xml:space="preserve">29.09.2020 № </w:t>
      </w:r>
      <w:r w:rsidR="00A54C9F">
        <w:rPr>
          <w:sz w:val="28"/>
          <w:szCs w:val="28"/>
        </w:rPr>
        <w:t>4357</w:t>
      </w:r>
      <w:r w:rsidR="00A54C9F" w:rsidRPr="00BE0483">
        <w:rPr>
          <w:sz w:val="28"/>
          <w:szCs w:val="28"/>
        </w:rPr>
        <w:t xml:space="preserve"> </w:t>
      </w:r>
      <w:r w:rsidRPr="005C794A">
        <w:rPr>
          <w:sz w:val="28"/>
          <w:szCs w:val="28"/>
        </w:rPr>
        <w:t>«Об утверждении Основных направлений бюджетной и налоговой политики в городском округе горд Бор на</w:t>
      </w:r>
      <w:r w:rsidR="00A54C9F">
        <w:rPr>
          <w:sz w:val="28"/>
          <w:szCs w:val="28"/>
        </w:rPr>
        <w:t xml:space="preserve"> 2021 год и плановый период 2022 и 2023</w:t>
      </w:r>
      <w:r w:rsidRPr="005C794A">
        <w:rPr>
          <w:sz w:val="28"/>
          <w:szCs w:val="28"/>
        </w:rPr>
        <w:t xml:space="preserve"> годов».</w:t>
      </w:r>
    </w:p>
    <w:p w:rsidR="00EB7637" w:rsidRPr="00D80B78" w:rsidRDefault="00EB7637" w:rsidP="00EB7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B78">
        <w:rPr>
          <w:sz w:val="28"/>
          <w:szCs w:val="28"/>
        </w:rPr>
        <w:t>Цели муниципальной программы - обеспечение сбалансированности и устойчивости бюджета городского округа город Бор, повышение эффективности и качества управления муниципальными финансами городского округа город Бор.</w:t>
      </w:r>
    </w:p>
    <w:p w:rsidR="00EB7637" w:rsidRPr="00D80B78" w:rsidRDefault="00EB7637" w:rsidP="00EB76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0B78">
        <w:rPr>
          <w:sz w:val="28"/>
          <w:szCs w:val="28"/>
        </w:rPr>
        <w:t>Ответственный исполнитель по программе – Департамент финансов администрации городского округа город Бор.</w:t>
      </w:r>
    </w:p>
    <w:p w:rsidR="00EB7637" w:rsidRPr="00CD2A72" w:rsidRDefault="00EB7637" w:rsidP="00EB76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CD2A72">
        <w:rPr>
          <w:sz w:val="28"/>
          <w:szCs w:val="28"/>
          <w:u w:val="single"/>
        </w:rPr>
        <w:t>Программа реализовывалась по 5 подпрограммам:</w:t>
      </w:r>
    </w:p>
    <w:p w:rsidR="00EB7637" w:rsidRPr="00E57010" w:rsidRDefault="00004893" w:rsidP="00EB76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w:anchor="Par302" w:history="1">
        <w:r w:rsidR="00EB7637" w:rsidRPr="006D4326">
          <w:rPr>
            <w:sz w:val="28"/>
            <w:szCs w:val="28"/>
          </w:rPr>
          <w:t>подпрограмма</w:t>
        </w:r>
      </w:hyperlink>
      <w:r w:rsidR="00EB7637" w:rsidRPr="006D4326">
        <w:rPr>
          <w:sz w:val="28"/>
          <w:szCs w:val="28"/>
        </w:rPr>
        <w:t xml:space="preserve"> </w:t>
      </w:r>
      <w:r w:rsidR="002F6CA3">
        <w:rPr>
          <w:sz w:val="28"/>
          <w:szCs w:val="28"/>
        </w:rPr>
        <w:t xml:space="preserve"> </w:t>
      </w:r>
      <w:r w:rsidR="00EB7637" w:rsidRPr="00E57010">
        <w:rPr>
          <w:sz w:val="28"/>
          <w:szCs w:val="28"/>
        </w:rPr>
        <w:t>1 «</w:t>
      </w:r>
      <w:hyperlink w:anchor="Par302" w:history="1">
        <w:r w:rsidR="00EB7637" w:rsidRPr="00E57010">
          <w:rPr>
            <w:sz w:val="28"/>
            <w:szCs w:val="28"/>
          </w:rPr>
          <w:t>Организация и совершенствование</w:t>
        </w:r>
      </w:hyperlink>
      <w:r w:rsidR="00EB7637" w:rsidRPr="00E57010">
        <w:rPr>
          <w:sz w:val="28"/>
          <w:szCs w:val="28"/>
        </w:rPr>
        <w:t xml:space="preserve"> бюджетного процесса в городском округе город Бор»;</w:t>
      </w:r>
    </w:p>
    <w:p w:rsidR="00EB7637" w:rsidRPr="00E57010" w:rsidRDefault="006D4326" w:rsidP="00EB76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4326">
        <w:rPr>
          <w:sz w:val="28"/>
          <w:szCs w:val="28"/>
        </w:rPr>
        <w:t xml:space="preserve">подпрограмма </w:t>
      </w:r>
      <w:r w:rsidR="00EB7637" w:rsidRPr="00E57010">
        <w:rPr>
          <w:sz w:val="28"/>
          <w:szCs w:val="28"/>
        </w:rPr>
        <w:t>2 «Повышение эффективности бюджетных расходов городского округа город Бор»;</w:t>
      </w:r>
    </w:p>
    <w:p w:rsidR="00EB7637" w:rsidRPr="00E57010" w:rsidRDefault="00004893" w:rsidP="00EB76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w:anchor="Par691" w:history="1">
        <w:r w:rsidR="00EB7637" w:rsidRPr="006D4326">
          <w:rPr>
            <w:sz w:val="28"/>
            <w:szCs w:val="28"/>
          </w:rPr>
          <w:t>п</w:t>
        </w:r>
      </w:hyperlink>
      <w:r w:rsidR="00EB7637" w:rsidRPr="006D4326">
        <w:rPr>
          <w:sz w:val="28"/>
          <w:szCs w:val="28"/>
        </w:rPr>
        <w:t xml:space="preserve">одпрограмма  </w:t>
      </w:r>
      <w:r w:rsidR="00EB7637" w:rsidRPr="00E57010">
        <w:rPr>
          <w:sz w:val="28"/>
          <w:szCs w:val="28"/>
        </w:rPr>
        <w:t>3 «Обеспечение и осуществление финансового контроля в городском округе город Бор»;</w:t>
      </w:r>
    </w:p>
    <w:p w:rsidR="00EB7637" w:rsidRPr="00E57010" w:rsidRDefault="00EB7637" w:rsidP="00EB76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4326">
        <w:rPr>
          <w:sz w:val="28"/>
          <w:szCs w:val="28"/>
        </w:rPr>
        <w:t xml:space="preserve">подпрограмма </w:t>
      </w:r>
      <w:r w:rsidRPr="00E57010">
        <w:rPr>
          <w:sz w:val="28"/>
          <w:szCs w:val="28"/>
        </w:rPr>
        <w:t>4 «Управление муниципальным долгом городского округа город Бор»;</w:t>
      </w:r>
    </w:p>
    <w:p w:rsidR="00EB7637" w:rsidRPr="00E57010" w:rsidRDefault="00EB7637" w:rsidP="00EB76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7010">
        <w:rPr>
          <w:sz w:val="28"/>
          <w:szCs w:val="28"/>
        </w:rPr>
        <w:t>подпрограмма 5 «Обеспечение реализации муниципальной программы».</w:t>
      </w:r>
    </w:p>
    <w:p w:rsidR="00EB7637" w:rsidRPr="00B2472B" w:rsidRDefault="00EB7637" w:rsidP="00EB7637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472B">
        <w:rPr>
          <w:rFonts w:ascii="Times New Roman" w:hAnsi="Times New Roman"/>
          <w:sz w:val="28"/>
          <w:szCs w:val="28"/>
        </w:rPr>
        <w:t xml:space="preserve">Основные мероприятия Программы предусматривают комплекс взаимосвязанных мер, направленных на достижение цели Программы.  </w:t>
      </w:r>
    </w:p>
    <w:p w:rsidR="00902293" w:rsidRPr="000E14D5" w:rsidRDefault="00902293" w:rsidP="00537E5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B7637" w:rsidRPr="00B2472B" w:rsidRDefault="00EB7637" w:rsidP="00EB7637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472B">
        <w:rPr>
          <w:rFonts w:ascii="Times New Roman" w:hAnsi="Times New Roman"/>
          <w:sz w:val="28"/>
          <w:szCs w:val="28"/>
        </w:rPr>
        <w:t>Расходы на реализацию муниципальн</w:t>
      </w:r>
      <w:r w:rsidR="002F6CA3">
        <w:rPr>
          <w:rFonts w:ascii="Times New Roman" w:hAnsi="Times New Roman"/>
          <w:sz w:val="28"/>
          <w:szCs w:val="28"/>
        </w:rPr>
        <w:t>ой программы на 2021</w:t>
      </w:r>
      <w:r w:rsidRPr="00B2472B">
        <w:rPr>
          <w:rFonts w:ascii="Times New Roman" w:hAnsi="Times New Roman"/>
          <w:sz w:val="28"/>
          <w:szCs w:val="28"/>
        </w:rPr>
        <w:t xml:space="preserve"> год</w:t>
      </w:r>
    </w:p>
    <w:p w:rsidR="00EB7637" w:rsidRPr="00B2472B" w:rsidRDefault="00EB7637" w:rsidP="00EB7637">
      <w:pPr>
        <w:tabs>
          <w:tab w:val="left" w:pos="9214"/>
        </w:tabs>
        <w:ind w:firstLine="708"/>
        <w:jc w:val="right"/>
      </w:pPr>
      <w:r w:rsidRPr="00B2472B">
        <w:t>тыс. рублей</w:t>
      </w:r>
    </w:p>
    <w:tbl>
      <w:tblPr>
        <w:tblW w:w="9455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4395"/>
        <w:gridCol w:w="1275"/>
        <w:gridCol w:w="1560"/>
        <w:gridCol w:w="1444"/>
      </w:tblGrid>
      <w:tr w:rsidR="00EB7637" w:rsidRPr="000E14D5" w:rsidTr="00C067DD">
        <w:trPr>
          <w:trHeight w:val="556"/>
          <w:tblHeader/>
          <w:jc w:val="center"/>
        </w:trPr>
        <w:tc>
          <w:tcPr>
            <w:tcW w:w="781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EB7637" w:rsidRPr="0022641B" w:rsidRDefault="00EB7637" w:rsidP="00F11D60">
            <w:pPr>
              <w:jc w:val="center"/>
            </w:pPr>
            <w:r w:rsidRPr="0022641B">
              <w:t>МП/</w:t>
            </w:r>
          </w:p>
          <w:p w:rsidR="00EB7637" w:rsidRPr="0022641B" w:rsidRDefault="00EB7637" w:rsidP="00F11D60">
            <w:pPr>
              <w:jc w:val="center"/>
            </w:pPr>
            <w:r w:rsidRPr="0022641B">
              <w:t>ПМП</w:t>
            </w:r>
          </w:p>
        </w:tc>
        <w:tc>
          <w:tcPr>
            <w:tcW w:w="4395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EB7637" w:rsidRPr="0022641B" w:rsidRDefault="00EB7637" w:rsidP="00F11D60">
            <w:pPr>
              <w:jc w:val="center"/>
            </w:pPr>
            <w:r w:rsidRPr="0022641B">
              <w:t>Наименование муниципальной программы (подпрограммы)</w:t>
            </w:r>
          </w:p>
        </w:tc>
        <w:tc>
          <w:tcPr>
            <w:tcW w:w="1275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EB7637" w:rsidRPr="0022641B" w:rsidRDefault="00EB7637" w:rsidP="00F11D60">
            <w:pPr>
              <w:jc w:val="center"/>
            </w:pPr>
            <w:r w:rsidRPr="0022641B">
              <w:t>план</w:t>
            </w:r>
          </w:p>
        </w:tc>
        <w:tc>
          <w:tcPr>
            <w:tcW w:w="1560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EB7637" w:rsidRPr="0022641B" w:rsidRDefault="00EB7637" w:rsidP="00F11D60">
            <w:pPr>
              <w:jc w:val="center"/>
            </w:pPr>
            <w:r w:rsidRPr="0022641B">
              <w:t>факт</w:t>
            </w:r>
          </w:p>
        </w:tc>
        <w:tc>
          <w:tcPr>
            <w:tcW w:w="1444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EB7637" w:rsidRPr="0022641B" w:rsidRDefault="00EB7637" w:rsidP="00F11D60">
            <w:pPr>
              <w:jc w:val="center"/>
            </w:pPr>
            <w:r w:rsidRPr="0022641B">
              <w:t>% исполнения</w:t>
            </w:r>
          </w:p>
        </w:tc>
      </w:tr>
      <w:tr w:rsidR="002F6CA3" w:rsidRPr="000E14D5" w:rsidTr="002F6CA3">
        <w:trPr>
          <w:trHeight w:val="907"/>
          <w:tblHeader/>
          <w:jc w:val="center"/>
        </w:trPr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2F6CA3" w:rsidRPr="0022641B" w:rsidRDefault="002F6CA3" w:rsidP="00F11D60">
            <w:pPr>
              <w:jc w:val="center"/>
            </w:pPr>
            <w:r w:rsidRPr="0022641B">
              <w:t>17 0</w:t>
            </w:r>
          </w:p>
        </w:tc>
        <w:tc>
          <w:tcPr>
            <w:tcW w:w="4395" w:type="dxa"/>
            <w:tcBorders>
              <w:top w:val="double" w:sz="4" w:space="0" w:color="auto"/>
            </w:tcBorders>
            <w:vAlign w:val="center"/>
          </w:tcPr>
          <w:p w:rsidR="002F6CA3" w:rsidRPr="0022641B" w:rsidRDefault="002F6CA3" w:rsidP="00F11D60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2641B">
              <w:rPr>
                <w:rFonts w:ascii="Times New Roman" w:hAnsi="Times New Roman"/>
                <w:sz w:val="24"/>
                <w:szCs w:val="24"/>
              </w:rPr>
              <w:t>Муниципальная  программа «Управление муниципальными финансами городского округа г. Бор»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2F6CA3" w:rsidRPr="00372038" w:rsidRDefault="00372038" w:rsidP="00372038">
            <w:pPr>
              <w:jc w:val="center"/>
              <w:rPr>
                <w:bCs/>
              </w:rPr>
            </w:pPr>
            <w:r w:rsidRPr="00372038">
              <w:rPr>
                <w:bCs/>
              </w:rPr>
              <w:t>44 226,3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2F6CA3" w:rsidRPr="002F6CA3" w:rsidRDefault="002F6CA3" w:rsidP="002F6CA3">
            <w:pPr>
              <w:jc w:val="center"/>
              <w:rPr>
                <w:bCs/>
              </w:rPr>
            </w:pPr>
            <w:r w:rsidRPr="002F6CA3">
              <w:rPr>
                <w:bCs/>
              </w:rPr>
              <w:t>44 225,9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F6CA3" w:rsidRPr="000E14D5" w:rsidRDefault="002F6CA3" w:rsidP="008F3BAB">
            <w:pPr>
              <w:jc w:val="center"/>
              <w:rPr>
                <w:highlight w:val="yellow"/>
              </w:rPr>
            </w:pPr>
            <w:r w:rsidRPr="008F3BAB">
              <w:t>100,0</w:t>
            </w:r>
          </w:p>
        </w:tc>
      </w:tr>
      <w:tr w:rsidR="002F6CA3" w:rsidRPr="000E14D5" w:rsidTr="002F6CA3">
        <w:trPr>
          <w:trHeight w:val="856"/>
          <w:tblHeader/>
          <w:jc w:val="center"/>
        </w:trPr>
        <w:tc>
          <w:tcPr>
            <w:tcW w:w="781" w:type="dxa"/>
            <w:vAlign w:val="center"/>
          </w:tcPr>
          <w:p w:rsidR="002F6CA3" w:rsidRPr="0022641B" w:rsidRDefault="002F6CA3" w:rsidP="00F11D60">
            <w:pPr>
              <w:jc w:val="center"/>
            </w:pPr>
            <w:r w:rsidRPr="0022641B">
              <w:t>17 1</w:t>
            </w:r>
          </w:p>
        </w:tc>
        <w:tc>
          <w:tcPr>
            <w:tcW w:w="4395" w:type="dxa"/>
            <w:vAlign w:val="center"/>
          </w:tcPr>
          <w:p w:rsidR="002F6CA3" w:rsidRPr="0022641B" w:rsidRDefault="002F6CA3" w:rsidP="00F11D60">
            <w:r w:rsidRPr="0022641B">
              <w:t>Подпрограмма «Организация и совершенствование бюджетного процесса в городском округе город Бор»</w:t>
            </w:r>
          </w:p>
        </w:tc>
        <w:tc>
          <w:tcPr>
            <w:tcW w:w="1275" w:type="dxa"/>
            <w:vAlign w:val="center"/>
          </w:tcPr>
          <w:p w:rsidR="002F6CA3" w:rsidRPr="002F6CA3" w:rsidRDefault="002F6CA3" w:rsidP="002F6CA3">
            <w:pPr>
              <w:jc w:val="center"/>
              <w:rPr>
                <w:bCs/>
              </w:rPr>
            </w:pPr>
            <w:r w:rsidRPr="002F6CA3">
              <w:rPr>
                <w:bCs/>
              </w:rPr>
              <w:t>4 767,8</w:t>
            </w:r>
          </w:p>
        </w:tc>
        <w:tc>
          <w:tcPr>
            <w:tcW w:w="1560" w:type="dxa"/>
            <w:vAlign w:val="center"/>
          </w:tcPr>
          <w:p w:rsidR="002F6CA3" w:rsidRPr="002F6CA3" w:rsidRDefault="002F6CA3" w:rsidP="002F6CA3">
            <w:pPr>
              <w:jc w:val="center"/>
              <w:rPr>
                <w:bCs/>
              </w:rPr>
            </w:pPr>
            <w:r w:rsidRPr="002F6CA3">
              <w:rPr>
                <w:bCs/>
              </w:rPr>
              <w:t>4 767,8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2F6CA3" w:rsidRPr="00EF56AC" w:rsidRDefault="002F6CA3" w:rsidP="00EF56AC">
            <w:pPr>
              <w:jc w:val="center"/>
              <w:rPr>
                <w:highlight w:val="yellow"/>
              </w:rPr>
            </w:pPr>
            <w:r w:rsidRPr="00EF56AC">
              <w:t>100,0</w:t>
            </w:r>
          </w:p>
        </w:tc>
      </w:tr>
      <w:tr w:rsidR="00EB7637" w:rsidRPr="000E14D5" w:rsidTr="00C067DD">
        <w:trPr>
          <w:trHeight w:val="804"/>
          <w:tblHeader/>
          <w:jc w:val="center"/>
        </w:trPr>
        <w:tc>
          <w:tcPr>
            <w:tcW w:w="781" w:type="dxa"/>
            <w:vAlign w:val="center"/>
          </w:tcPr>
          <w:p w:rsidR="00EB7637" w:rsidRPr="0022641B" w:rsidRDefault="00EB7637" w:rsidP="00F11D60">
            <w:pPr>
              <w:jc w:val="center"/>
            </w:pPr>
            <w:r w:rsidRPr="0022641B">
              <w:t>17 2</w:t>
            </w:r>
          </w:p>
        </w:tc>
        <w:tc>
          <w:tcPr>
            <w:tcW w:w="4395" w:type="dxa"/>
            <w:vAlign w:val="center"/>
          </w:tcPr>
          <w:p w:rsidR="00EB7637" w:rsidRPr="0022641B" w:rsidRDefault="00EB7637" w:rsidP="00F11D60">
            <w:r w:rsidRPr="0022641B">
              <w:t>Подпрограмма «Повышение эффективности бюджетных расходов городского округа город Бор»</w:t>
            </w:r>
          </w:p>
        </w:tc>
        <w:tc>
          <w:tcPr>
            <w:tcW w:w="1275" w:type="dxa"/>
            <w:vAlign w:val="center"/>
          </w:tcPr>
          <w:p w:rsidR="00EB7637" w:rsidRPr="002905AD" w:rsidRDefault="00EB7637" w:rsidP="00F11D60">
            <w:pPr>
              <w:jc w:val="center"/>
            </w:pPr>
            <w:r w:rsidRPr="002905AD">
              <w:t>0</w:t>
            </w:r>
          </w:p>
        </w:tc>
        <w:tc>
          <w:tcPr>
            <w:tcW w:w="1560" w:type="dxa"/>
            <w:vAlign w:val="center"/>
          </w:tcPr>
          <w:p w:rsidR="00EB7637" w:rsidRPr="002905AD" w:rsidRDefault="00EB7637" w:rsidP="00F11D60">
            <w:pPr>
              <w:jc w:val="center"/>
            </w:pPr>
            <w:r w:rsidRPr="002905AD">
              <w:t>0</w:t>
            </w:r>
          </w:p>
        </w:tc>
        <w:tc>
          <w:tcPr>
            <w:tcW w:w="1444" w:type="dxa"/>
            <w:vAlign w:val="center"/>
          </w:tcPr>
          <w:p w:rsidR="00EB7637" w:rsidRPr="002905AD" w:rsidRDefault="00EB7637" w:rsidP="00F11D60">
            <w:pPr>
              <w:jc w:val="center"/>
            </w:pPr>
            <w:r w:rsidRPr="002905AD">
              <w:t>0</w:t>
            </w:r>
          </w:p>
        </w:tc>
      </w:tr>
      <w:tr w:rsidR="00EB7637" w:rsidRPr="000E14D5" w:rsidTr="00C067DD">
        <w:trPr>
          <w:trHeight w:val="958"/>
          <w:tblHeader/>
          <w:jc w:val="center"/>
        </w:trPr>
        <w:tc>
          <w:tcPr>
            <w:tcW w:w="781" w:type="dxa"/>
            <w:vAlign w:val="center"/>
          </w:tcPr>
          <w:p w:rsidR="00EB7637" w:rsidRPr="00C97101" w:rsidRDefault="00EB7637" w:rsidP="00F11D60">
            <w:pPr>
              <w:jc w:val="center"/>
            </w:pPr>
            <w:r w:rsidRPr="00C97101">
              <w:lastRenderedPageBreak/>
              <w:t>17 3</w:t>
            </w:r>
          </w:p>
        </w:tc>
        <w:tc>
          <w:tcPr>
            <w:tcW w:w="4395" w:type="dxa"/>
            <w:vAlign w:val="center"/>
          </w:tcPr>
          <w:p w:rsidR="00EB7637" w:rsidRPr="00C97101" w:rsidRDefault="00EB7637" w:rsidP="00F11D60">
            <w:r w:rsidRPr="00C97101">
              <w:t>Подпрограмма «Обеспечение и осуществление финансового контроля в городском округе город Бор»</w:t>
            </w:r>
          </w:p>
        </w:tc>
        <w:tc>
          <w:tcPr>
            <w:tcW w:w="1275" w:type="dxa"/>
            <w:vAlign w:val="center"/>
          </w:tcPr>
          <w:p w:rsidR="00EB7637" w:rsidRPr="002905AD" w:rsidRDefault="00EB7637" w:rsidP="00F11D60">
            <w:pPr>
              <w:jc w:val="center"/>
            </w:pPr>
            <w:r w:rsidRPr="002905AD">
              <w:t>0</w:t>
            </w:r>
          </w:p>
        </w:tc>
        <w:tc>
          <w:tcPr>
            <w:tcW w:w="1560" w:type="dxa"/>
            <w:vAlign w:val="center"/>
          </w:tcPr>
          <w:p w:rsidR="00EB7637" w:rsidRPr="002905AD" w:rsidRDefault="00EB7637" w:rsidP="00F11D60">
            <w:pPr>
              <w:jc w:val="center"/>
            </w:pPr>
            <w:r w:rsidRPr="002905AD">
              <w:t>0</w:t>
            </w:r>
          </w:p>
        </w:tc>
        <w:tc>
          <w:tcPr>
            <w:tcW w:w="1444" w:type="dxa"/>
            <w:vAlign w:val="center"/>
          </w:tcPr>
          <w:p w:rsidR="00EB7637" w:rsidRPr="002905AD" w:rsidRDefault="00EB7637" w:rsidP="00F11D60">
            <w:pPr>
              <w:jc w:val="center"/>
            </w:pPr>
            <w:r w:rsidRPr="002905AD">
              <w:t>0</w:t>
            </w:r>
          </w:p>
        </w:tc>
      </w:tr>
      <w:tr w:rsidR="002F6CA3" w:rsidRPr="000E14D5" w:rsidTr="002F6CA3">
        <w:trPr>
          <w:trHeight w:val="826"/>
          <w:tblHeader/>
          <w:jc w:val="center"/>
        </w:trPr>
        <w:tc>
          <w:tcPr>
            <w:tcW w:w="781" w:type="dxa"/>
            <w:vAlign w:val="center"/>
          </w:tcPr>
          <w:p w:rsidR="002F6CA3" w:rsidRPr="00C97101" w:rsidRDefault="002F6CA3" w:rsidP="00F11D60">
            <w:pPr>
              <w:jc w:val="center"/>
            </w:pPr>
            <w:r w:rsidRPr="00C97101">
              <w:t>17 4</w:t>
            </w:r>
          </w:p>
        </w:tc>
        <w:tc>
          <w:tcPr>
            <w:tcW w:w="4395" w:type="dxa"/>
            <w:vAlign w:val="center"/>
          </w:tcPr>
          <w:p w:rsidR="002F6CA3" w:rsidRPr="00C97101" w:rsidRDefault="002F6CA3" w:rsidP="00F11D60">
            <w:r w:rsidRPr="00C97101">
              <w:t>Подпрограмма «Управление муниципальным долгом городского округа город Бор»</w:t>
            </w:r>
          </w:p>
        </w:tc>
        <w:tc>
          <w:tcPr>
            <w:tcW w:w="1275" w:type="dxa"/>
            <w:vAlign w:val="center"/>
          </w:tcPr>
          <w:p w:rsidR="002F6CA3" w:rsidRPr="002F6CA3" w:rsidRDefault="002F6CA3" w:rsidP="002F6CA3">
            <w:pPr>
              <w:jc w:val="center"/>
              <w:rPr>
                <w:bCs/>
              </w:rPr>
            </w:pPr>
            <w:r w:rsidRPr="002F6CA3">
              <w:rPr>
                <w:bCs/>
              </w:rPr>
              <w:t>8 316,4</w:t>
            </w:r>
          </w:p>
        </w:tc>
        <w:tc>
          <w:tcPr>
            <w:tcW w:w="1560" w:type="dxa"/>
            <w:vAlign w:val="center"/>
          </w:tcPr>
          <w:p w:rsidR="002F6CA3" w:rsidRPr="002F6CA3" w:rsidRDefault="002F6CA3" w:rsidP="002F6CA3">
            <w:pPr>
              <w:jc w:val="center"/>
              <w:rPr>
                <w:bCs/>
              </w:rPr>
            </w:pPr>
            <w:r w:rsidRPr="002F6CA3">
              <w:rPr>
                <w:bCs/>
              </w:rPr>
              <w:t>8 316,4</w:t>
            </w:r>
          </w:p>
        </w:tc>
        <w:tc>
          <w:tcPr>
            <w:tcW w:w="1444" w:type="dxa"/>
            <w:vAlign w:val="center"/>
          </w:tcPr>
          <w:p w:rsidR="002F6CA3" w:rsidRPr="000820B0" w:rsidRDefault="002F6CA3" w:rsidP="000820B0">
            <w:pPr>
              <w:jc w:val="center"/>
            </w:pPr>
            <w:r w:rsidRPr="000820B0">
              <w:t>100,0</w:t>
            </w:r>
          </w:p>
        </w:tc>
      </w:tr>
      <w:tr w:rsidR="002F6CA3" w:rsidRPr="000E14D5" w:rsidTr="002F6CA3">
        <w:trPr>
          <w:trHeight w:val="811"/>
          <w:tblHeader/>
          <w:jc w:val="center"/>
        </w:trPr>
        <w:tc>
          <w:tcPr>
            <w:tcW w:w="781" w:type="dxa"/>
            <w:tcBorders>
              <w:bottom w:val="threeDEmboss" w:sz="6" w:space="0" w:color="auto"/>
            </w:tcBorders>
            <w:vAlign w:val="center"/>
          </w:tcPr>
          <w:p w:rsidR="002F6CA3" w:rsidRPr="00C97101" w:rsidRDefault="002F6CA3" w:rsidP="00F11D60">
            <w:pPr>
              <w:jc w:val="center"/>
            </w:pPr>
            <w:r w:rsidRPr="00C97101">
              <w:t>17 5</w:t>
            </w:r>
          </w:p>
        </w:tc>
        <w:tc>
          <w:tcPr>
            <w:tcW w:w="4395" w:type="dxa"/>
            <w:tcBorders>
              <w:bottom w:val="threeDEmboss" w:sz="6" w:space="0" w:color="auto"/>
            </w:tcBorders>
            <w:vAlign w:val="center"/>
          </w:tcPr>
          <w:p w:rsidR="002F6CA3" w:rsidRPr="00C97101" w:rsidRDefault="002F6CA3" w:rsidP="00F11D60">
            <w:r w:rsidRPr="00C97101">
              <w:t>Подпрограмма «Обеспечение реализации муниципальной программы»</w:t>
            </w:r>
          </w:p>
        </w:tc>
        <w:tc>
          <w:tcPr>
            <w:tcW w:w="1275" w:type="dxa"/>
            <w:tcBorders>
              <w:bottom w:val="threeDEmboss" w:sz="6" w:space="0" w:color="auto"/>
            </w:tcBorders>
            <w:vAlign w:val="center"/>
          </w:tcPr>
          <w:p w:rsidR="002F6CA3" w:rsidRPr="002F6CA3" w:rsidRDefault="002F6CA3" w:rsidP="002F6CA3">
            <w:pPr>
              <w:jc w:val="center"/>
              <w:rPr>
                <w:bCs/>
              </w:rPr>
            </w:pPr>
            <w:r w:rsidRPr="002F6CA3">
              <w:rPr>
                <w:bCs/>
              </w:rPr>
              <w:t>31 142,1</w:t>
            </w:r>
          </w:p>
        </w:tc>
        <w:tc>
          <w:tcPr>
            <w:tcW w:w="1560" w:type="dxa"/>
            <w:tcBorders>
              <w:bottom w:val="threeDEmboss" w:sz="6" w:space="0" w:color="auto"/>
            </w:tcBorders>
            <w:vAlign w:val="center"/>
          </w:tcPr>
          <w:p w:rsidR="002F6CA3" w:rsidRPr="002F6CA3" w:rsidRDefault="002F6CA3" w:rsidP="002F6CA3">
            <w:pPr>
              <w:jc w:val="center"/>
              <w:rPr>
                <w:bCs/>
              </w:rPr>
            </w:pPr>
            <w:r w:rsidRPr="002F6CA3">
              <w:rPr>
                <w:bCs/>
              </w:rPr>
              <w:t>31 141,7</w:t>
            </w:r>
          </w:p>
        </w:tc>
        <w:tc>
          <w:tcPr>
            <w:tcW w:w="1444" w:type="dxa"/>
            <w:tcBorders>
              <w:bottom w:val="threeDEmboss" w:sz="6" w:space="0" w:color="auto"/>
            </w:tcBorders>
            <w:vAlign w:val="center"/>
          </w:tcPr>
          <w:p w:rsidR="002F6CA3" w:rsidRPr="00F72C41" w:rsidRDefault="002F6CA3" w:rsidP="00F72C41">
            <w:pPr>
              <w:jc w:val="center"/>
            </w:pPr>
            <w:r w:rsidRPr="00F72C41">
              <w:t>100,0</w:t>
            </w:r>
          </w:p>
        </w:tc>
      </w:tr>
    </w:tbl>
    <w:p w:rsidR="00902293" w:rsidRPr="000E14D5" w:rsidRDefault="00902293" w:rsidP="006A3F42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902293" w:rsidRPr="005257D9" w:rsidRDefault="00902293" w:rsidP="006A3F42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5257D9">
        <w:rPr>
          <w:rFonts w:ascii="Times New Roman" w:hAnsi="Times New Roman"/>
          <w:sz w:val="28"/>
          <w:szCs w:val="28"/>
        </w:rPr>
        <w:t>Индикаторы достижения цели и показатели непосредственных результатов</w:t>
      </w:r>
      <w:r w:rsidR="009B2A0D">
        <w:rPr>
          <w:rFonts w:ascii="Times New Roman" w:hAnsi="Times New Roman"/>
          <w:sz w:val="28"/>
          <w:szCs w:val="28"/>
        </w:rPr>
        <w:t xml:space="preserve"> муниципальной программы за 2021</w:t>
      </w:r>
      <w:r w:rsidRPr="005257D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0059" w:type="dxa"/>
        <w:tblInd w:w="-106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6"/>
        <w:gridCol w:w="2266"/>
        <w:gridCol w:w="2037"/>
      </w:tblGrid>
      <w:tr w:rsidR="00902293" w:rsidRPr="000E14D5" w:rsidTr="00C81E75">
        <w:trPr>
          <w:trHeight w:val="609"/>
          <w:tblHeader/>
        </w:trPr>
        <w:tc>
          <w:tcPr>
            <w:tcW w:w="5756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902293" w:rsidRPr="008700CC" w:rsidRDefault="00902293" w:rsidP="00122978">
            <w:pPr>
              <w:jc w:val="center"/>
            </w:pPr>
            <w:r w:rsidRPr="008700CC">
              <w:t>Наименование индикатора/непосредственного результата</w:t>
            </w:r>
          </w:p>
        </w:tc>
        <w:tc>
          <w:tcPr>
            <w:tcW w:w="2266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902293" w:rsidRPr="008700CC" w:rsidRDefault="00902293" w:rsidP="00122978">
            <w:pPr>
              <w:jc w:val="center"/>
            </w:pPr>
            <w:r w:rsidRPr="008700CC">
              <w:t>Ед.</w:t>
            </w:r>
          </w:p>
          <w:p w:rsidR="00902293" w:rsidRPr="008700CC" w:rsidRDefault="00902293" w:rsidP="00122978">
            <w:pPr>
              <w:jc w:val="center"/>
            </w:pPr>
            <w:r w:rsidRPr="008700CC">
              <w:t>измерения</w:t>
            </w:r>
          </w:p>
        </w:tc>
        <w:tc>
          <w:tcPr>
            <w:tcW w:w="2037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902293" w:rsidRPr="008700CC" w:rsidRDefault="00FE1E03" w:rsidP="00122978">
            <w:pPr>
              <w:jc w:val="center"/>
            </w:pPr>
            <w:r>
              <w:t>2021</w:t>
            </w:r>
            <w:r w:rsidR="00902293" w:rsidRPr="008700CC">
              <w:t xml:space="preserve"> год</w:t>
            </w:r>
          </w:p>
        </w:tc>
      </w:tr>
      <w:tr w:rsidR="00022F18" w:rsidRPr="000E14D5" w:rsidTr="00022F18">
        <w:trPr>
          <w:trHeight w:val="424"/>
        </w:trPr>
        <w:tc>
          <w:tcPr>
            <w:tcW w:w="5756" w:type="dxa"/>
            <w:tcBorders>
              <w:top w:val="double" w:sz="4" w:space="0" w:color="auto"/>
            </w:tcBorders>
            <w:vAlign w:val="center"/>
          </w:tcPr>
          <w:p w:rsidR="00022F18" w:rsidRPr="000E14D5" w:rsidRDefault="00022F18" w:rsidP="00122978">
            <w:pPr>
              <w:rPr>
                <w:b/>
                <w:i/>
                <w:highlight w:val="yellow"/>
              </w:rPr>
            </w:pPr>
            <w:r w:rsidRPr="004E6E78">
              <w:rPr>
                <w:b/>
                <w:i/>
              </w:rPr>
              <w:t>Индикаторы:</w:t>
            </w:r>
          </w:p>
        </w:tc>
        <w:tc>
          <w:tcPr>
            <w:tcW w:w="2266" w:type="dxa"/>
            <w:tcBorders>
              <w:top w:val="double" w:sz="4" w:space="0" w:color="auto"/>
            </w:tcBorders>
            <w:vAlign w:val="center"/>
          </w:tcPr>
          <w:p w:rsidR="00022F18" w:rsidRPr="000E14D5" w:rsidRDefault="00022F18" w:rsidP="00122978">
            <w:pPr>
              <w:jc w:val="center"/>
              <w:rPr>
                <w:highlight w:val="yellow"/>
              </w:rPr>
            </w:pPr>
          </w:p>
        </w:tc>
        <w:tc>
          <w:tcPr>
            <w:tcW w:w="2037" w:type="dxa"/>
            <w:tcBorders>
              <w:top w:val="double" w:sz="4" w:space="0" w:color="auto"/>
            </w:tcBorders>
            <w:vAlign w:val="center"/>
          </w:tcPr>
          <w:p w:rsidR="00022F18" w:rsidRPr="000E14D5" w:rsidRDefault="00022F18" w:rsidP="006A3F42">
            <w:pPr>
              <w:jc w:val="center"/>
              <w:rPr>
                <w:highlight w:val="yellow"/>
              </w:rPr>
            </w:pPr>
          </w:p>
        </w:tc>
      </w:tr>
      <w:tr w:rsidR="00902293" w:rsidRPr="000E14D5">
        <w:trPr>
          <w:trHeight w:val="848"/>
        </w:trPr>
        <w:tc>
          <w:tcPr>
            <w:tcW w:w="5756" w:type="dxa"/>
            <w:vAlign w:val="center"/>
          </w:tcPr>
          <w:p w:rsidR="00902293" w:rsidRPr="000E14D5" w:rsidRDefault="00FE1E03" w:rsidP="006A4963">
            <w:pPr>
              <w:rPr>
                <w:highlight w:val="yellow"/>
              </w:rPr>
            </w:pPr>
            <w:r w:rsidRPr="00FE1E03">
              <w:t>Доля  расходов бюджета городского округа город Бор, формируемых в рамках  муниципальных программ в общем объеме расходов бюджета городского округа город Бор</w:t>
            </w:r>
          </w:p>
        </w:tc>
        <w:tc>
          <w:tcPr>
            <w:tcW w:w="2266" w:type="dxa"/>
            <w:vAlign w:val="center"/>
          </w:tcPr>
          <w:p w:rsidR="00902293" w:rsidRPr="004E6E78" w:rsidRDefault="00902293" w:rsidP="00122978">
            <w:pPr>
              <w:jc w:val="center"/>
            </w:pPr>
            <w:r w:rsidRPr="004E6E78">
              <w:t>%</w:t>
            </w:r>
          </w:p>
        </w:tc>
        <w:tc>
          <w:tcPr>
            <w:tcW w:w="2037" w:type="dxa"/>
            <w:vAlign w:val="center"/>
          </w:tcPr>
          <w:p w:rsidR="00902293" w:rsidRPr="00FE1E03" w:rsidRDefault="00FE1E03" w:rsidP="00FE1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</w:tr>
      <w:tr w:rsidR="00BF0231" w:rsidRPr="000E14D5">
        <w:trPr>
          <w:trHeight w:val="848"/>
        </w:trPr>
        <w:tc>
          <w:tcPr>
            <w:tcW w:w="5756" w:type="dxa"/>
            <w:vAlign w:val="center"/>
          </w:tcPr>
          <w:p w:rsidR="00BF0231" w:rsidRPr="000E14D5" w:rsidRDefault="00BF0231" w:rsidP="00F11D60">
            <w:pPr>
              <w:rPr>
                <w:highlight w:val="yellow"/>
              </w:rPr>
            </w:pPr>
            <w:r w:rsidRPr="00BF0231">
              <w:t>Удельный вес муниципального долга по отношению к доходам местного бюджета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2266" w:type="dxa"/>
            <w:vAlign w:val="center"/>
          </w:tcPr>
          <w:p w:rsidR="00BF0231" w:rsidRPr="004E6E78" w:rsidRDefault="00BF0231" w:rsidP="00F11D60">
            <w:pPr>
              <w:jc w:val="center"/>
            </w:pPr>
            <w:r w:rsidRPr="004E6E78">
              <w:t>%</w:t>
            </w:r>
          </w:p>
        </w:tc>
        <w:tc>
          <w:tcPr>
            <w:tcW w:w="2037" w:type="dxa"/>
            <w:vAlign w:val="center"/>
          </w:tcPr>
          <w:p w:rsidR="00BF0231" w:rsidRPr="00BF0231" w:rsidRDefault="00BF0231" w:rsidP="00EE4CA8">
            <w:pPr>
              <w:jc w:val="center"/>
              <w:rPr>
                <w:sz w:val="22"/>
                <w:szCs w:val="22"/>
              </w:rPr>
            </w:pPr>
            <w:r w:rsidRPr="00BF0231">
              <w:rPr>
                <w:sz w:val="22"/>
                <w:szCs w:val="22"/>
              </w:rPr>
              <w:t>16,1</w:t>
            </w:r>
          </w:p>
        </w:tc>
      </w:tr>
      <w:tr w:rsidR="00BF0231" w:rsidRPr="000E14D5" w:rsidTr="00022F18">
        <w:trPr>
          <w:trHeight w:val="334"/>
        </w:trPr>
        <w:tc>
          <w:tcPr>
            <w:tcW w:w="5756" w:type="dxa"/>
            <w:vAlign w:val="center"/>
          </w:tcPr>
          <w:p w:rsidR="00BF0231" w:rsidRPr="000E14D5" w:rsidRDefault="00BF0231" w:rsidP="00F11D60">
            <w:pPr>
              <w:rPr>
                <w:b/>
                <w:i/>
                <w:highlight w:val="yellow"/>
              </w:rPr>
            </w:pPr>
            <w:r w:rsidRPr="004E6E78">
              <w:rPr>
                <w:b/>
                <w:bCs/>
                <w:i/>
              </w:rPr>
              <w:t>Непосредственный результат:</w:t>
            </w:r>
          </w:p>
        </w:tc>
        <w:tc>
          <w:tcPr>
            <w:tcW w:w="2266" w:type="dxa"/>
            <w:vAlign w:val="center"/>
          </w:tcPr>
          <w:p w:rsidR="00BF0231" w:rsidRPr="000E14D5" w:rsidRDefault="00BF0231" w:rsidP="00F11D60">
            <w:pPr>
              <w:jc w:val="center"/>
              <w:rPr>
                <w:highlight w:val="yellow"/>
              </w:rPr>
            </w:pPr>
          </w:p>
        </w:tc>
        <w:tc>
          <w:tcPr>
            <w:tcW w:w="2037" w:type="dxa"/>
            <w:vAlign w:val="center"/>
          </w:tcPr>
          <w:p w:rsidR="00BF0231" w:rsidRPr="00BF0231" w:rsidRDefault="00BF0231" w:rsidP="00EE4CA8">
            <w:pPr>
              <w:jc w:val="center"/>
            </w:pPr>
          </w:p>
        </w:tc>
      </w:tr>
      <w:tr w:rsidR="00BF0231" w:rsidRPr="000E14D5" w:rsidTr="00022F18">
        <w:trPr>
          <w:trHeight w:val="552"/>
        </w:trPr>
        <w:tc>
          <w:tcPr>
            <w:tcW w:w="5756" w:type="dxa"/>
            <w:tcBorders>
              <w:bottom w:val="threeDEmboss" w:sz="6" w:space="0" w:color="auto"/>
            </w:tcBorders>
            <w:vAlign w:val="center"/>
          </w:tcPr>
          <w:p w:rsidR="00BF0231" w:rsidRPr="000E14D5" w:rsidRDefault="00BF0231" w:rsidP="00F11D60">
            <w:pPr>
              <w:rPr>
                <w:highlight w:val="yellow"/>
              </w:rPr>
            </w:pPr>
            <w:r w:rsidRPr="00BF0231">
              <w:t>Увеличение доходов бюджета городского округа на душу населения</w:t>
            </w:r>
            <w:r w:rsidRPr="004E6E78">
              <w:t xml:space="preserve">   </w:t>
            </w:r>
          </w:p>
        </w:tc>
        <w:tc>
          <w:tcPr>
            <w:tcW w:w="2266" w:type="dxa"/>
            <w:tcBorders>
              <w:bottom w:val="threeDEmboss" w:sz="6" w:space="0" w:color="auto"/>
            </w:tcBorders>
            <w:vAlign w:val="center"/>
          </w:tcPr>
          <w:p w:rsidR="00BF0231" w:rsidRPr="000E14D5" w:rsidRDefault="00BF0231" w:rsidP="00F11D60">
            <w:pPr>
              <w:jc w:val="center"/>
              <w:rPr>
                <w:highlight w:val="yellow"/>
              </w:rPr>
            </w:pPr>
            <w:r w:rsidRPr="004E6E78">
              <w:t>тыс. руб.</w:t>
            </w:r>
          </w:p>
        </w:tc>
        <w:tc>
          <w:tcPr>
            <w:tcW w:w="2037" w:type="dxa"/>
            <w:tcBorders>
              <w:bottom w:val="threeDEmboss" w:sz="6" w:space="0" w:color="auto"/>
            </w:tcBorders>
            <w:vAlign w:val="center"/>
          </w:tcPr>
          <w:p w:rsidR="00BF0231" w:rsidRPr="00BF0231" w:rsidRDefault="00BF0231" w:rsidP="00EE4CA8">
            <w:pPr>
              <w:jc w:val="center"/>
              <w:rPr>
                <w:sz w:val="22"/>
                <w:szCs w:val="22"/>
              </w:rPr>
            </w:pPr>
            <w:r w:rsidRPr="00BF0231">
              <w:rPr>
                <w:sz w:val="22"/>
                <w:szCs w:val="22"/>
              </w:rPr>
              <w:t>36,1</w:t>
            </w:r>
          </w:p>
        </w:tc>
      </w:tr>
    </w:tbl>
    <w:p w:rsidR="00443673" w:rsidRPr="003B35BF" w:rsidRDefault="00443673" w:rsidP="0044367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35BF">
        <w:rPr>
          <w:rFonts w:ascii="Times New Roman" w:hAnsi="Times New Roman"/>
          <w:sz w:val="28"/>
          <w:szCs w:val="28"/>
        </w:rPr>
        <w:t xml:space="preserve">В рамках реализации Программы «Управление муниципальными финансами городского округа г. Бор» все основные мероприятия, </w:t>
      </w:r>
      <w:r w:rsidR="00BB45BC">
        <w:rPr>
          <w:rFonts w:ascii="Times New Roman" w:hAnsi="Times New Roman"/>
          <w:sz w:val="28"/>
          <w:szCs w:val="28"/>
        </w:rPr>
        <w:t>подлежащие реализации в 2021</w:t>
      </w:r>
      <w:r w:rsidR="009E5703" w:rsidRPr="003B35BF">
        <w:rPr>
          <w:rFonts w:ascii="Times New Roman" w:hAnsi="Times New Roman"/>
          <w:sz w:val="28"/>
          <w:szCs w:val="28"/>
        </w:rPr>
        <w:t xml:space="preserve"> году </w:t>
      </w:r>
      <w:r w:rsidRPr="003B35BF">
        <w:rPr>
          <w:rFonts w:ascii="Times New Roman" w:hAnsi="Times New Roman"/>
          <w:sz w:val="28"/>
          <w:szCs w:val="28"/>
        </w:rPr>
        <w:t>выполнены в полном объеме.</w:t>
      </w:r>
    </w:p>
    <w:p w:rsidR="00DB12A6" w:rsidRPr="008C76AD" w:rsidRDefault="00DB12A6" w:rsidP="00AB1C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C76AD">
        <w:rPr>
          <w:rFonts w:ascii="Times New Roman" w:hAnsi="Times New Roman"/>
          <w:sz w:val="28"/>
          <w:szCs w:val="28"/>
        </w:rPr>
        <w:t xml:space="preserve">Бюджетные ассигнования в </w:t>
      </w:r>
      <w:r w:rsidR="00750783">
        <w:rPr>
          <w:rFonts w:ascii="Times New Roman" w:hAnsi="Times New Roman"/>
          <w:sz w:val="28"/>
          <w:szCs w:val="28"/>
        </w:rPr>
        <w:t>2021</w:t>
      </w:r>
      <w:r w:rsidRPr="008C76AD">
        <w:rPr>
          <w:rFonts w:ascii="Times New Roman" w:hAnsi="Times New Roman"/>
          <w:sz w:val="28"/>
          <w:szCs w:val="28"/>
        </w:rPr>
        <w:t xml:space="preserve"> году в рамках программы были направлены на:</w:t>
      </w:r>
    </w:p>
    <w:p w:rsidR="00DB12A6" w:rsidRPr="000E14D5" w:rsidRDefault="00DB12A6" w:rsidP="00DB12A6">
      <w:pPr>
        <w:jc w:val="both"/>
        <w:rPr>
          <w:sz w:val="28"/>
          <w:szCs w:val="28"/>
          <w:highlight w:val="yellow"/>
        </w:rPr>
      </w:pPr>
      <w:r w:rsidRPr="00256834">
        <w:rPr>
          <w:sz w:val="28"/>
          <w:szCs w:val="28"/>
        </w:rPr>
        <w:t xml:space="preserve">- обеспечение функций </w:t>
      </w:r>
      <w:r w:rsidRPr="00750783">
        <w:rPr>
          <w:sz w:val="28"/>
          <w:szCs w:val="28"/>
        </w:rPr>
        <w:t xml:space="preserve">Департамента – </w:t>
      </w:r>
      <w:r w:rsidR="00750783" w:rsidRPr="00750783">
        <w:rPr>
          <w:bCs/>
          <w:sz w:val="28"/>
          <w:szCs w:val="28"/>
        </w:rPr>
        <w:t xml:space="preserve">24 149,1 </w:t>
      </w:r>
      <w:r w:rsidRPr="00750783">
        <w:rPr>
          <w:sz w:val="28"/>
          <w:szCs w:val="28"/>
        </w:rPr>
        <w:t>тыс. рублей</w:t>
      </w:r>
      <w:r w:rsidRPr="00256834">
        <w:rPr>
          <w:sz w:val="28"/>
          <w:szCs w:val="28"/>
        </w:rPr>
        <w:t xml:space="preserve">; </w:t>
      </w:r>
    </w:p>
    <w:p w:rsidR="00DB12A6" w:rsidRPr="008111F9" w:rsidRDefault="00DB12A6" w:rsidP="00DB12A6">
      <w:pPr>
        <w:jc w:val="both"/>
        <w:rPr>
          <w:sz w:val="28"/>
          <w:szCs w:val="28"/>
        </w:rPr>
      </w:pPr>
      <w:r w:rsidRPr="00396DE2">
        <w:rPr>
          <w:sz w:val="28"/>
          <w:szCs w:val="28"/>
        </w:rPr>
        <w:t xml:space="preserve">- обеспечение деятельности подведомственного </w:t>
      </w:r>
      <w:r w:rsidRPr="005874D2">
        <w:rPr>
          <w:sz w:val="28"/>
          <w:szCs w:val="28"/>
        </w:rPr>
        <w:t>учреждения –</w:t>
      </w:r>
      <w:r w:rsidR="00BA6148">
        <w:rPr>
          <w:sz w:val="28"/>
          <w:szCs w:val="28"/>
        </w:rPr>
        <w:t xml:space="preserve"> </w:t>
      </w:r>
      <w:r w:rsidR="005874D2" w:rsidRPr="005874D2">
        <w:rPr>
          <w:bCs/>
          <w:sz w:val="28"/>
          <w:szCs w:val="28"/>
        </w:rPr>
        <w:t xml:space="preserve">6 992,6 </w:t>
      </w:r>
      <w:r w:rsidRPr="005874D2">
        <w:rPr>
          <w:sz w:val="28"/>
          <w:szCs w:val="28"/>
        </w:rPr>
        <w:t>тыс</w:t>
      </w:r>
      <w:r w:rsidRPr="008111F9">
        <w:rPr>
          <w:sz w:val="28"/>
          <w:szCs w:val="28"/>
        </w:rPr>
        <w:t>. рублей;</w:t>
      </w:r>
    </w:p>
    <w:p w:rsidR="00DB12A6" w:rsidRPr="00CA54C1" w:rsidRDefault="00DB12A6" w:rsidP="00DB12A6">
      <w:pPr>
        <w:jc w:val="both"/>
        <w:rPr>
          <w:b/>
          <w:bCs/>
        </w:rPr>
      </w:pPr>
      <w:r w:rsidRPr="00C32D5F">
        <w:rPr>
          <w:sz w:val="28"/>
          <w:szCs w:val="28"/>
        </w:rPr>
        <w:t xml:space="preserve">- управление средствами резервного фонда администрации городского округа город </w:t>
      </w:r>
      <w:r w:rsidRPr="00CA54C1">
        <w:rPr>
          <w:sz w:val="28"/>
          <w:szCs w:val="28"/>
        </w:rPr>
        <w:t>Бор –</w:t>
      </w:r>
      <w:r w:rsidR="00CA54C1" w:rsidRPr="00CA54C1">
        <w:rPr>
          <w:sz w:val="28"/>
          <w:szCs w:val="28"/>
        </w:rPr>
        <w:t xml:space="preserve"> </w:t>
      </w:r>
      <w:r w:rsidR="00CA54C1" w:rsidRPr="00CA54C1">
        <w:rPr>
          <w:bCs/>
          <w:sz w:val="28"/>
          <w:szCs w:val="28"/>
        </w:rPr>
        <w:t>4 506,0</w:t>
      </w:r>
      <w:r w:rsidRPr="00CA54C1">
        <w:rPr>
          <w:bCs/>
          <w:sz w:val="28"/>
          <w:szCs w:val="28"/>
        </w:rPr>
        <w:t xml:space="preserve"> </w:t>
      </w:r>
      <w:r w:rsidRPr="00CA54C1">
        <w:rPr>
          <w:sz w:val="28"/>
          <w:szCs w:val="28"/>
        </w:rPr>
        <w:t>тыс. рублей</w:t>
      </w:r>
      <w:r w:rsidRPr="00D773F5">
        <w:rPr>
          <w:sz w:val="28"/>
          <w:szCs w:val="28"/>
        </w:rPr>
        <w:t>;</w:t>
      </w:r>
    </w:p>
    <w:p w:rsidR="00DB12A6" w:rsidRPr="006F0183" w:rsidRDefault="00DB12A6" w:rsidP="00DB12A6">
      <w:pPr>
        <w:jc w:val="both"/>
        <w:rPr>
          <w:bCs/>
          <w:sz w:val="28"/>
          <w:szCs w:val="28"/>
        </w:rPr>
      </w:pPr>
      <w:r w:rsidRPr="00C32D5F">
        <w:rPr>
          <w:sz w:val="28"/>
          <w:szCs w:val="28"/>
        </w:rPr>
        <w:t xml:space="preserve">- </w:t>
      </w:r>
      <w:r w:rsidR="002709B4" w:rsidRPr="00537E5E">
        <w:rPr>
          <w:sz w:val="28"/>
          <w:szCs w:val="28"/>
        </w:rPr>
        <w:t>оплату услуг информационной, технической и консультационной поддержки в сфере управления му</w:t>
      </w:r>
      <w:r w:rsidR="002709B4">
        <w:rPr>
          <w:sz w:val="28"/>
          <w:szCs w:val="28"/>
        </w:rPr>
        <w:t xml:space="preserve">ниципальными </w:t>
      </w:r>
      <w:r w:rsidR="002709B4" w:rsidRPr="006F0183">
        <w:rPr>
          <w:sz w:val="28"/>
          <w:szCs w:val="28"/>
        </w:rPr>
        <w:t xml:space="preserve">финансами </w:t>
      </w:r>
      <w:r w:rsidRPr="006F0183">
        <w:rPr>
          <w:sz w:val="28"/>
          <w:szCs w:val="28"/>
        </w:rPr>
        <w:t>–</w:t>
      </w:r>
      <w:r w:rsidR="00EC2981">
        <w:rPr>
          <w:sz w:val="28"/>
          <w:szCs w:val="28"/>
        </w:rPr>
        <w:t xml:space="preserve"> </w:t>
      </w:r>
      <w:r w:rsidR="006F0183" w:rsidRPr="006F0183">
        <w:rPr>
          <w:bCs/>
          <w:sz w:val="28"/>
          <w:szCs w:val="28"/>
        </w:rPr>
        <w:t>261,8</w:t>
      </w:r>
      <w:r w:rsidRPr="006F0183">
        <w:rPr>
          <w:bCs/>
          <w:sz w:val="28"/>
          <w:szCs w:val="28"/>
        </w:rPr>
        <w:t xml:space="preserve"> </w:t>
      </w:r>
      <w:r w:rsidRPr="006F0183">
        <w:rPr>
          <w:sz w:val="28"/>
          <w:szCs w:val="28"/>
        </w:rPr>
        <w:t xml:space="preserve">тыс. рублей; </w:t>
      </w:r>
    </w:p>
    <w:p w:rsidR="00DB12A6" w:rsidRDefault="00DB12A6" w:rsidP="00DB12A6">
      <w:pPr>
        <w:jc w:val="both"/>
        <w:rPr>
          <w:sz w:val="28"/>
          <w:szCs w:val="28"/>
        </w:rPr>
      </w:pPr>
      <w:r w:rsidRPr="00C32D5F">
        <w:rPr>
          <w:sz w:val="28"/>
          <w:szCs w:val="28"/>
        </w:rPr>
        <w:t xml:space="preserve">- обслуживание муниципального долга городского </w:t>
      </w:r>
      <w:r w:rsidRPr="007C2D04">
        <w:rPr>
          <w:sz w:val="28"/>
          <w:szCs w:val="28"/>
        </w:rPr>
        <w:t xml:space="preserve">округа – </w:t>
      </w:r>
      <w:r w:rsidR="007C2D04" w:rsidRPr="007C2D04">
        <w:rPr>
          <w:bCs/>
          <w:sz w:val="28"/>
          <w:szCs w:val="28"/>
        </w:rPr>
        <w:t xml:space="preserve">8 316,4 </w:t>
      </w:r>
      <w:r w:rsidRPr="007C2D04">
        <w:rPr>
          <w:sz w:val="28"/>
          <w:szCs w:val="28"/>
        </w:rPr>
        <w:t>тыс</w:t>
      </w:r>
      <w:r w:rsidRPr="00D773F5">
        <w:rPr>
          <w:sz w:val="28"/>
          <w:szCs w:val="28"/>
        </w:rPr>
        <w:t>. рублей. Бюджетные ассигнования были направлены на уплату процентных</w:t>
      </w:r>
      <w:r w:rsidRPr="00C32D5F">
        <w:rPr>
          <w:sz w:val="28"/>
          <w:szCs w:val="28"/>
        </w:rPr>
        <w:t xml:space="preserve"> платежей по привлеченным кредитам. </w:t>
      </w:r>
    </w:p>
    <w:p w:rsidR="00371162" w:rsidRPr="004B45EB" w:rsidRDefault="00371162" w:rsidP="003711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A74439">
        <w:rPr>
          <w:color w:val="000000"/>
          <w:sz w:val="28"/>
          <w:szCs w:val="28"/>
          <w:shd w:val="clear" w:color="auto" w:fill="FFFFFF"/>
        </w:rPr>
        <w:t xml:space="preserve">Удельный вес муниципального долга по отношению к доходам местного бюджета без учета объема безвозмездных поступлений и поступлений налоговых доходов по дополнительным нормативам отчислений в соответствии с </w:t>
      </w:r>
      <w:r w:rsidRPr="00A74439">
        <w:rPr>
          <w:sz w:val="28"/>
          <w:szCs w:val="28"/>
        </w:rPr>
        <w:t xml:space="preserve">решениями Совета депутатов городского округа </w:t>
      </w:r>
      <w:r w:rsidRPr="00A74439">
        <w:rPr>
          <w:sz w:val="28"/>
          <w:szCs w:val="28"/>
        </w:rPr>
        <w:lastRenderedPageBreak/>
        <w:t>г. Бор Нижегородской области от 22.02.2011 № 9 «Об утверждении Положения о муниципальном долге городского округа город Бор Нижегородской области» (в редакции решения от 20 декабря 2019 года № 95) и от 17 декабря 2020 года № 53 «О бюджете городского округа город Бор на 2021 год и плановый период 2022 и 2023 годов» находится на экономически безопасном уровне и не превышает</w:t>
      </w:r>
      <w:r w:rsidRPr="00A74439">
        <w:rPr>
          <w:color w:val="000000"/>
          <w:sz w:val="28"/>
          <w:szCs w:val="28"/>
          <w:shd w:val="clear" w:color="auto" w:fill="FFFFFF"/>
        </w:rPr>
        <w:t xml:space="preserve"> 40%.</w:t>
      </w:r>
    </w:p>
    <w:p w:rsidR="00371162" w:rsidRPr="00156633" w:rsidRDefault="00371162" w:rsidP="003711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6633">
        <w:rPr>
          <w:sz w:val="28"/>
          <w:szCs w:val="28"/>
        </w:rPr>
        <w:t>Внедрение процедуры планирования временных кассовых разрывов и постоянный мониторинг уровня необходимого покрытия временных кассовых разрывов позволили минимизировать данный показатель до 16,1</w:t>
      </w:r>
      <w:r w:rsidRPr="00156633">
        <w:rPr>
          <w:sz w:val="22"/>
          <w:szCs w:val="22"/>
        </w:rPr>
        <w:t xml:space="preserve"> </w:t>
      </w:r>
      <w:r w:rsidRPr="00156633">
        <w:rPr>
          <w:sz w:val="28"/>
          <w:szCs w:val="28"/>
        </w:rPr>
        <w:t>%.</w:t>
      </w:r>
    </w:p>
    <w:p w:rsidR="00371162" w:rsidRPr="00156633" w:rsidRDefault="00371162" w:rsidP="003711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6633">
        <w:rPr>
          <w:sz w:val="28"/>
          <w:szCs w:val="28"/>
        </w:rPr>
        <w:t>Осуществление целенаправленной и планомерной работы по улучшению инвестиционного климата и формированию имиджа городского округа город Бор, эффективное использование муниципальной собственности, совершенствование администрирования и сотрудничество с организациями всех видов и форм собственности, создающими доходный потенциал округа и активизация претензионно-исковой деятельности позволили перевыполнить плановые назначения налоговых и неналоговых доходов (исполнение 120,1 процента). Сумма дополнительно поступивших доходов составила 273 755,3 тыс. рублей.</w:t>
      </w:r>
    </w:p>
    <w:p w:rsidR="00371162" w:rsidRPr="00156633" w:rsidRDefault="00371162" w:rsidP="00371162">
      <w:pPr>
        <w:ind w:firstLine="900"/>
        <w:jc w:val="both"/>
        <w:rPr>
          <w:sz w:val="28"/>
          <w:szCs w:val="28"/>
        </w:rPr>
      </w:pPr>
      <w:r w:rsidRPr="00156633">
        <w:rPr>
          <w:sz w:val="28"/>
          <w:szCs w:val="28"/>
        </w:rPr>
        <w:t>Эффективное проведение следующих мероприятий на территории городского округа город Бор привело к перевыполнению налоговых и неналоговых доходов бюджета городского округа город Бор:</w:t>
      </w:r>
    </w:p>
    <w:p w:rsidR="00371162" w:rsidRPr="00156633" w:rsidRDefault="00371162" w:rsidP="00371162">
      <w:pPr>
        <w:ind w:firstLine="709"/>
        <w:jc w:val="both"/>
        <w:rPr>
          <w:sz w:val="28"/>
          <w:szCs w:val="28"/>
        </w:rPr>
      </w:pPr>
      <w:r w:rsidRPr="00156633">
        <w:rPr>
          <w:sz w:val="28"/>
          <w:szCs w:val="28"/>
        </w:rPr>
        <w:t>1. В течение отчетного года Комиссией по вопросам уплаты налогов, страховых взносов и арендных платежей проведено 4 заседания, на котором рассмотрено 99 организаций и физических лица, в результате чего в бюджет взыскано задолженности на сумму 48 094,84 тыс. рублей.</w:t>
      </w:r>
    </w:p>
    <w:p w:rsidR="00371162" w:rsidRPr="00156633" w:rsidRDefault="00371162" w:rsidP="00371162">
      <w:pPr>
        <w:ind w:firstLine="709"/>
        <w:jc w:val="both"/>
        <w:rPr>
          <w:sz w:val="28"/>
          <w:szCs w:val="28"/>
        </w:rPr>
      </w:pPr>
      <w:r w:rsidRPr="00156633">
        <w:rPr>
          <w:sz w:val="28"/>
          <w:szCs w:val="28"/>
        </w:rPr>
        <w:t xml:space="preserve">2. Комиссией по повышению уровня заработной платы проведено 5 заседаний, на котором рассмотрено 45 действующих предприятий и организаций, что увеличило среднюю заработную плату на рассматриваемых Комиссией предприятиях (организациях) на 5 процентов. Среднемесячная заработная плата на рассматриваемых Комиссией предприятиях увеличилась до уровня не менее </w:t>
      </w:r>
      <w:r w:rsidRPr="00156633">
        <w:rPr>
          <w:sz w:val="28"/>
          <w:szCs w:val="28"/>
          <w:shd w:val="clear" w:color="auto" w:fill="FFFFFF"/>
        </w:rPr>
        <w:t>минимального размера оплаты труда</w:t>
      </w:r>
      <w:r w:rsidRPr="00156633">
        <w:rPr>
          <w:sz w:val="28"/>
          <w:szCs w:val="28"/>
        </w:rPr>
        <w:t>.</w:t>
      </w:r>
    </w:p>
    <w:p w:rsidR="00371162" w:rsidRPr="00156633" w:rsidRDefault="00371162" w:rsidP="00371162">
      <w:pPr>
        <w:ind w:firstLine="709"/>
        <w:jc w:val="both"/>
        <w:rPr>
          <w:sz w:val="28"/>
          <w:szCs w:val="28"/>
        </w:rPr>
      </w:pPr>
      <w:r w:rsidRPr="00156633">
        <w:rPr>
          <w:sz w:val="28"/>
          <w:szCs w:val="28"/>
        </w:rPr>
        <w:t>3. Исполнение плана поступлений налога на доходы физических лиц составило 115,0 процента (план перевыполнен на 124 167,6 тыс. рублей) за счет следующих факторов:</w:t>
      </w:r>
    </w:p>
    <w:p w:rsidR="00371162" w:rsidRPr="00156633" w:rsidRDefault="00371162" w:rsidP="00371162">
      <w:pPr>
        <w:ind w:firstLine="709"/>
        <w:jc w:val="both"/>
        <w:rPr>
          <w:sz w:val="28"/>
          <w:szCs w:val="28"/>
        </w:rPr>
      </w:pPr>
      <w:r w:rsidRPr="00156633">
        <w:rPr>
          <w:sz w:val="28"/>
          <w:szCs w:val="28"/>
        </w:rPr>
        <w:t>- досрочной выплаты заработной платы и бонусных выплат на предприятиях, не работавших в выходные и праздничные дни начала 2022 года, а также учреждениях, финансируемых из бюджетов различных уровней;</w:t>
      </w:r>
    </w:p>
    <w:p w:rsidR="00371162" w:rsidRPr="00156633" w:rsidRDefault="00371162" w:rsidP="00371162">
      <w:pPr>
        <w:ind w:firstLine="709"/>
        <w:jc w:val="both"/>
        <w:rPr>
          <w:sz w:val="28"/>
          <w:szCs w:val="28"/>
        </w:rPr>
      </w:pPr>
      <w:r w:rsidRPr="00156633">
        <w:rPr>
          <w:sz w:val="28"/>
          <w:szCs w:val="28"/>
        </w:rPr>
        <w:t>- работы Комиссии по вопросам уплаты налогов, страховых взносов и арендных платежей, по итогам которой уплачено НДФЛ в размере 1 138,81 тыс. рублей;</w:t>
      </w:r>
    </w:p>
    <w:p w:rsidR="00371162" w:rsidRPr="00156633" w:rsidRDefault="00371162" w:rsidP="00371162">
      <w:pPr>
        <w:ind w:firstLine="900"/>
        <w:jc w:val="both"/>
        <w:rPr>
          <w:sz w:val="28"/>
          <w:szCs w:val="28"/>
        </w:rPr>
      </w:pPr>
      <w:r w:rsidRPr="00156633">
        <w:rPr>
          <w:sz w:val="28"/>
          <w:szCs w:val="28"/>
        </w:rPr>
        <w:t>4. Увеличение поступлений доходов от налога, взимаемого в связи с применением упрощенной системы налогообложения по сравнению с плановыми назначениями на 17 922,5 тыс. руб. (исполнение – 120,5%) объясняется увеличением количества налогоплательщиков, находящихся на упрощенной системе налогообложения.</w:t>
      </w:r>
    </w:p>
    <w:p w:rsidR="00371162" w:rsidRPr="00156633" w:rsidRDefault="00371162" w:rsidP="00371162">
      <w:pPr>
        <w:ind w:firstLine="900"/>
        <w:jc w:val="both"/>
        <w:rPr>
          <w:sz w:val="28"/>
          <w:szCs w:val="28"/>
        </w:rPr>
      </w:pPr>
      <w:r w:rsidRPr="00156633">
        <w:rPr>
          <w:sz w:val="28"/>
          <w:szCs w:val="28"/>
        </w:rPr>
        <w:lastRenderedPageBreak/>
        <w:t>5. Увеличение поступлений доходов от единого сельскохозяйственного налога по сравнению с плановыми назначениями на 143,8 тыс. руб. (исполнение – 175,2%) объясняется увеличением налогоплательщиков, выбравших специальный налоговый режим в качестве основной системы налогообложения.</w:t>
      </w:r>
    </w:p>
    <w:p w:rsidR="00371162" w:rsidRPr="00156633" w:rsidRDefault="00371162" w:rsidP="00371162">
      <w:pPr>
        <w:ind w:firstLine="900"/>
        <w:jc w:val="both"/>
        <w:rPr>
          <w:sz w:val="28"/>
          <w:szCs w:val="28"/>
        </w:rPr>
      </w:pPr>
      <w:r w:rsidRPr="00156633">
        <w:rPr>
          <w:sz w:val="28"/>
          <w:szCs w:val="28"/>
        </w:rPr>
        <w:t>6. Увеличение поступлений доходов от налога, взимаемого в связи с применением патентной системы налогообложения по сравнению с плановыми назначениями на 3 376,9 тыс. руб. (исполнение – 119,9%) объясняется увеличением количества индивидуальных предпринимателей, перешедших на патентную систему налогообложения.</w:t>
      </w:r>
    </w:p>
    <w:p w:rsidR="00371162" w:rsidRPr="00156633" w:rsidRDefault="00371162" w:rsidP="00371162">
      <w:pPr>
        <w:ind w:firstLine="900"/>
        <w:jc w:val="both"/>
        <w:rPr>
          <w:sz w:val="28"/>
          <w:szCs w:val="28"/>
        </w:rPr>
      </w:pPr>
      <w:r w:rsidRPr="00156633">
        <w:rPr>
          <w:sz w:val="28"/>
          <w:szCs w:val="28"/>
        </w:rPr>
        <w:t>7. Увеличение поступлений доходов от государственных и муниципальных унитарных предприятий по сравнению с плановыми назначениями на 597,7 тыс. руб. (исполнение – 6 077,0%) объясняется поступлением 25% части прибыли от МП "Линдовский ККП и Б" и МУП "Банно-прачечное".</w:t>
      </w:r>
    </w:p>
    <w:p w:rsidR="00371162" w:rsidRPr="00156633" w:rsidRDefault="00371162" w:rsidP="00371162">
      <w:pPr>
        <w:ind w:firstLine="900"/>
        <w:jc w:val="both"/>
        <w:rPr>
          <w:sz w:val="28"/>
          <w:szCs w:val="28"/>
        </w:rPr>
      </w:pPr>
      <w:r w:rsidRPr="00156633">
        <w:rPr>
          <w:sz w:val="28"/>
          <w:szCs w:val="28"/>
        </w:rPr>
        <w:t>8. Увеличение поступлений прочих доходов от компенсации затрат бюджетов городских округов по сравнению с плановыми назначениями на 35 519,7 тыс. руб. (исполнение – 2 021,9%) объясняется поступлением средств от возмещения ущерба за вырубку зеленых насаждений.</w:t>
      </w:r>
    </w:p>
    <w:p w:rsidR="00371162" w:rsidRPr="00156633" w:rsidRDefault="00371162" w:rsidP="00371162">
      <w:pPr>
        <w:ind w:firstLine="900"/>
        <w:jc w:val="both"/>
        <w:rPr>
          <w:sz w:val="28"/>
          <w:szCs w:val="28"/>
        </w:rPr>
      </w:pPr>
      <w:r w:rsidRPr="00156633">
        <w:rPr>
          <w:sz w:val="28"/>
          <w:szCs w:val="28"/>
        </w:rPr>
        <w:t>9. Увеличение поступлений доходов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 по сравнению с плановыми назначениями на 77 382,7 тыс. руб. (исполнение – 268,2%) объясняется увеличением спроса на приобретение земельных участков в собственность под ИЖС и прочие цели, а так же поступлением средств от реализации крупных земельных участков муниципальной собственности перешедших из аренды в собственность.</w:t>
      </w:r>
    </w:p>
    <w:p w:rsidR="00371162" w:rsidRPr="00156633" w:rsidRDefault="00371162" w:rsidP="00371162">
      <w:pPr>
        <w:ind w:firstLine="900"/>
        <w:jc w:val="both"/>
        <w:rPr>
          <w:sz w:val="28"/>
          <w:szCs w:val="28"/>
        </w:rPr>
      </w:pPr>
      <w:r w:rsidRPr="00156633">
        <w:rPr>
          <w:sz w:val="28"/>
          <w:szCs w:val="28"/>
        </w:rPr>
        <w:t xml:space="preserve">10. Увеличение поступлений штрафов, санкций, возмещения ущерба по сравнению с плановыми назначениями на 8 693,1 тыс. руб. (исполнение – 854,5%) произошло в связи с поступлением денежных взысканий (штрафов): </w:t>
      </w:r>
    </w:p>
    <w:p w:rsidR="00371162" w:rsidRPr="00156633" w:rsidRDefault="00371162" w:rsidP="00371162">
      <w:pPr>
        <w:jc w:val="both"/>
        <w:rPr>
          <w:sz w:val="28"/>
          <w:szCs w:val="28"/>
        </w:rPr>
      </w:pPr>
      <w:r w:rsidRPr="00156633">
        <w:rPr>
          <w:sz w:val="28"/>
          <w:szCs w:val="28"/>
        </w:rPr>
        <w:t xml:space="preserve"> - поступивших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году;</w:t>
      </w:r>
    </w:p>
    <w:p w:rsidR="00371162" w:rsidRPr="00156633" w:rsidRDefault="00371162" w:rsidP="00371162">
      <w:pPr>
        <w:jc w:val="both"/>
        <w:rPr>
          <w:sz w:val="28"/>
          <w:szCs w:val="28"/>
        </w:rPr>
      </w:pPr>
      <w:r w:rsidRPr="00156633">
        <w:rPr>
          <w:sz w:val="28"/>
          <w:szCs w:val="28"/>
        </w:rPr>
        <w:t xml:space="preserve"> - от неосновательного пользования земельным участком;</w:t>
      </w:r>
    </w:p>
    <w:p w:rsidR="00371162" w:rsidRPr="00156633" w:rsidRDefault="00371162" w:rsidP="00371162">
      <w:pPr>
        <w:jc w:val="both"/>
        <w:rPr>
          <w:sz w:val="28"/>
          <w:szCs w:val="28"/>
        </w:rPr>
      </w:pPr>
      <w:r w:rsidRPr="00156633">
        <w:rPr>
          <w:sz w:val="28"/>
          <w:szCs w:val="28"/>
        </w:rPr>
        <w:t xml:space="preserve"> - по решению природоохранного прокурора с ООО "Волжская Ривьера";</w:t>
      </w:r>
    </w:p>
    <w:p w:rsidR="00371162" w:rsidRPr="00156633" w:rsidRDefault="00371162" w:rsidP="00371162">
      <w:pPr>
        <w:jc w:val="both"/>
        <w:rPr>
          <w:sz w:val="28"/>
          <w:szCs w:val="28"/>
        </w:rPr>
      </w:pPr>
      <w:r w:rsidRPr="00156633">
        <w:rPr>
          <w:sz w:val="28"/>
          <w:szCs w:val="28"/>
        </w:rPr>
        <w:t xml:space="preserve"> - от арендаторов муниципального имущества за несвоевременную уплату обязательств по договорам аренды;</w:t>
      </w:r>
    </w:p>
    <w:p w:rsidR="00371162" w:rsidRPr="00A40639" w:rsidRDefault="00371162" w:rsidP="00371162">
      <w:pPr>
        <w:jc w:val="both"/>
        <w:rPr>
          <w:sz w:val="28"/>
          <w:szCs w:val="28"/>
        </w:rPr>
      </w:pPr>
      <w:r w:rsidRPr="00156633">
        <w:rPr>
          <w:sz w:val="28"/>
          <w:szCs w:val="28"/>
        </w:rPr>
        <w:t xml:space="preserve"> - от просрочки исполнения поставщиками (подрядчиками, исполнителями) обязательств, предусмотренных государственным (муниципальным) контрактом.</w:t>
      </w:r>
    </w:p>
    <w:p w:rsidR="00371162" w:rsidRPr="00156633" w:rsidRDefault="00371162" w:rsidP="00371162">
      <w:pPr>
        <w:pStyle w:val="ConsPlusNormal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6633">
        <w:rPr>
          <w:rFonts w:ascii="Times New Roman" w:hAnsi="Times New Roman"/>
          <w:sz w:val="28"/>
          <w:szCs w:val="28"/>
        </w:rPr>
        <w:t xml:space="preserve">Непосредственный результат Программы в части достижения </w:t>
      </w:r>
      <w:r w:rsidRPr="001566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доходов бюджета городского округа город Бор на душу населения в размере 36,1 тыс. рублей в 2021 году превышает плановые назначения на 7,2 тыс. рублей.</w:t>
      </w:r>
    </w:p>
    <w:p w:rsidR="009E468D" w:rsidRPr="009A3027" w:rsidRDefault="00EC06DB" w:rsidP="000A59D9">
      <w:pPr>
        <w:ind w:firstLine="709"/>
        <w:jc w:val="both"/>
        <w:rPr>
          <w:sz w:val="28"/>
          <w:szCs w:val="28"/>
        </w:rPr>
      </w:pPr>
      <w:r w:rsidRPr="00156633">
        <w:rPr>
          <w:sz w:val="28"/>
          <w:szCs w:val="28"/>
        </w:rPr>
        <w:t>В рамках реализации Подпрограммы «</w:t>
      </w:r>
      <w:hyperlink w:anchor="Par302" w:history="1">
        <w:r w:rsidRPr="00156633">
          <w:rPr>
            <w:sz w:val="28"/>
            <w:szCs w:val="28"/>
          </w:rPr>
          <w:t>Организация и совершенствование</w:t>
        </w:r>
      </w:hyperlink>
      <w:r w:rsidRPr="009A3027">
        <w:rPr>
          <w:sz w:val="28"/>
          <w:szCs w:val="28"/>
        </w:rPr>
        <w:t xml:space="preserve"> бюджетного процесса в городском округе город Бор» бюджетные ассигнования запланированы в </w:t>
      </w:r>
      <w:r w:rsidRPr="000A59D9">
        <w:rPr>
          <w:sz w:val="28"/>
          <w:szCs w:val="28"/>
        </w:rPr>
        <w:t xml:space="preserve">сумме </w:t>
      </w:r>
      <w:r w:rsidR="000A59D9" w:rsidRPr="000A59D9">
        <w:rPr>
          <w:bCs/>
          <w:sz w:val="28"/>
          <w:szCs w:val="28"/>
        </w:rPr>
        <w:t xml:space="preserve">4 767,8 </w:t>
      </w:r>
      <w:r w:rsidRPr="000A59D9">
        <w:rPr>
          <w:sz w:val="28"/>
          <w:szCs w:val="28"/>
        </w:rPr>
        <w:t>тыс</w:t>
      </w:r>
      <w:r w:rsidRPr="009A3027">
        <w:rPr>
          <w:sz w:val="28"/>
          <w:szCs w:val="28"/>
        </w:rPr>
        <w:t>. руб</w:t>
      </w:r>
      <w:r w:rsidR="00DB749F" w:rsidRPr="009A3027">
        <w:rPr>
          <w:sz w:val="28"/>
          <w:szCs w:val="28"/>
        </w:rPr>
        <w:t>лей</w:t>
      </w:r>
      <w:r w:rsidRPr="009A3027">
        <w:rPr>
          <w:sz w:val="28"/>
          <w:szCs w:val="28"/>
        </w:rPr>
        <w:t xml:space="preserve">, из них </w:t>
      </w:r>
      <w:r w:rsidRPr="009A3027">
        <w:rPr>
          <w:sz w:val="28"/>
          <w:szCs w:val="28"/>
        </w:rPr>
        <w:lastRenderedPageBreak/>
        <w:t>исполнено</w:t>
      </w:r>
      <w:r w:rsidR="009A3027">
        <w:rPr>
          <w:sz w:val="28"/>
          <w:szCs w:val="28"/>
        </w:rPr>
        <w:t xml:space="preserve"> </w:t>
      </w:r>
      <w:r w:rsidR="000A59D9" w:rsidRPr="000A59D9">
        <w:rPr>
          <w:bCs/>
          <w:sz w:val="28"/>
          <w:szCs w:val="28"/>
        </w:rPr>
        <w:t xml:space="preserve">4 767,8 </w:t>
      </w:r>
      <w:r w:rsidR="00DB749F" w:rsidRPr="009A3027">
        <w:rPr>
          <w:sz w:val="28"/>
          <w:szCs w:val="28"/>
        </w:rPr>
        <w:t>тыс. рублей</w:t>
      </w:r>
      <w:r w:rsidRPr="009A3027">
        <w:rPr>
          <w:sz w:val="28"/>
          <w:szCs w:val="28"/>
        </w:rPr>
        <w:t>, что составляет 100 % от плана.</w:t>
      </w:r>
      <w:r w:rsidR="00546655" w:rsidRPr="009A3027">
        <w:rPr>
          <w:sz w:val="28"/>
          <w:szCs w:val="28"/>
        </w:rPr>
        <w:t xml:space="preserve"> </w:t>
      </w:r>
      <w:r w:rsidR="009E468D" w:rsidRPr="009A3027">
        <w:rPr>
          <w:sz w:val="28"/>
          <w:szCs w:val="28"/>
        </w:rPr>
        <w:t>Все основные мероприятия</w:t>
      </w:r>
      <w:r w:rsidR="005E4CD4" w:rsidRPr="009A3027">
        <w:rPr>
          <w:sz w:val="28"/>
          <w:szCs w:val="28"/>
        </w:rPr>
        <w:t xml:space="preserve"> подпрограммы</w:t>
      </w:r>
      <w:r w:rsidR="0020212B" w:rsidRPr="009A3027">
        <w:rPr>
          <w:sz w:val="28"/>
          <w:szCs w:val="28"/>
        </w:rPr>
        <w:t>,</w:t>
      </w:r>
      <w:r w:rsidR="00546655" w:rsidRPr="009A3027">
        <w:rPr>
          <w:sz w:val="28"/>
          <w:szCs w:val="28"/>
        </w:rPr>
        <w:t xml:space="preserve"> </w:t>
      </w:r>
      <w:r w:rsidR="009A3027">
        <w:rPr>
          <w:sz w:val="28"/>
          <w:szCs w:val="28"/>
        </w:rPr>
        <w:t>подлежащие р</w:t>
      </w:r>
      <w:r w:rsidR="000A59D9">
        <w:rPr>
          <w:sz w:val="28"/>
          <w:szCs w:val="28"/>
        </w:rPr>
        <w:t>еализации в 2021</w:t>
      </w:r>
      <w:r w:rsidR="0020212B" w:rsidRPr="009A3027">
        <w:rPr>
          <w:sz w:val="28"/>
          <w:szCs w:val="28"/>
        </w:rPr>
        <w:t xml:space="preserve"> году</w:t>
      </w:r>
      <w:r w:rsidR="00546655" w:rsidRPr="009A3027">
        <w:rPr>
          <w:sz w:val="28"/>
          <w:szCs w:val="28"/>
        </w:rPr>
        <w:t xml:space="preserve"> </w:t>
      </w:r>
      <w:r w:rsidR="009E468D" w:rsidRPr="009A3027">
        <w:rPr>
          <w:sz w:val="28"/>
          <w:szCs w:val="28"/>
        </w:rPr>
        <w:t xml:space="preserve">выполнены в полном объеме. </w:t>
      </w:r>
    </w:p>
    <w:p w:rsidR="005C4304" w:rsidRPr="003B7BD5" w:rsidRDefault="005C4304" w:rsidP="003B5C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BD5">
        <w:rPr>
          <w:sz w:val="28"/>
          <w:szCs w:val="28"/>
        </w:rPr>
        <w:t xml:space="preserve">Бюджет городского округа город Бор на </w:t>
      </w:r>
      <w:r w:rsidR="000A59D9">
        <w:rPr>
          <w:sz w:val="28"/>
          <w:szCs w:val="28"/>
        </w:rPr>
        <w:t>2021</w:t>
      </w:r>
      <w:r w:rsidRPr="003B7BD5">
        <w:rPr>
          <w:sz w:val="28"/>
          <w:szCs w:val="28"/>
        </w:rPr>
        <w:t xml:space="preserve"> г. принят решением Совета депутатов городского округа город Бор </w:t>
      </w:r>
      <w:r w:rsidR="003B7BD5" w:rsidRPr="00E828F0">
        <w:rPr>
          <w:sz w:val="28"/>
          <w:szCs w:val="28"/>
        </w:rPr>
        <w:t xml:space="preserve">от </w:t>
      </w:r>
      <w:r w:rsidR="00E828F0" w:rsidRPr="00E828F0">
        <w:rPr>
          <w:sz w:val="28"/>
          <w:szCs w:val="28"/>
        </w:rPr>
        <w:t>17.12.2020 № 53</w:t>
      </w:r>
      <w:r w:rsidRPr="003B7BD5">
        <w:rPr>
          <w:sz w:val="28"/>
          <w:szCs w:val="28"/>
        </w:rPr>
        <w:t xml:space="preserve"> «О бюджете городского округа город Б</w:t>
      </w:r>
      <w:r w:rsidR="00605C76">
        <w:rPr>
          <w:sz w:val="28"/>
          <w:szCs w:val="28"/>
        </w:rPr>
        <w:t>ор на 2021 год и плановый период 2022 и 2023</w:t>
      </w:r>
      <w:r w:rsidRPr="003B7BD5">
        <w:rPr>
          <w:sz w:val="28"/>
          <w:szCs w:val="28"/>
        </w:rPr>
        <w:t xml:space="preserve"> годов».</w:t>
      </w:r>
    </w:p>
    <w:p w:rsidR="0009691D" w:rsidRPr="00CA4F6E" w:rsidRDefault="0009691D" w:rsidP="005D2525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A4F6E">
        <w:rPr>
          <w:rFonts w:ascii="Times New Roman" w:hAnsi="Times New Roman"/>
          <w:sz w:val="28"/>
          <w:szCs w:val="28"/>
        </w:rPr>
        <w:t>Основные пара</w:t>
      </w:r>
      <w:r w:rsidR="00671861">
        <w:rPr>
          <w:rFonts w:ascii="Times New Roman" w:hAnsi="Times New Roman"/>
          <w:sz w:val="28"/>
          <w:szCs w:val="28"/>
        </w:rPr>
        <w:t>метры исполнения бюджета за 202</w:t>
      </w:r>
      <w:r w:rsidR="00671861" w:rsidRPr="00671861">
        <w:rPr>
          <w:rFonts w:ascii="Times New Roman" w:hAnsi="Times New Roman"/>
          <w:sz w:val="28"/>
          <w:szCs w:val="28"/>
        </w:rPr>
        <w:t>1</w:t>
      </w:r>
      <w:r w:rsidRPr="00CA4F6E">
        <w:rPr>
          <w:rFonts w:ascii="Times New Roman" w:hAnsi="Times New Roman"/>
          <w:sz w:val="28"/>
          <w:szCs w:val="28"/>
        </w:rPr>
        <w:t xml:space="preserve"> год характеризуются следующими данными:</w:t>
      </w:r>
    </w:p>
    <w:tbl>
      <w:tblPr>
        <w:tblW w:w="9905" w:type="dxa"/>
        <w:tblInd w:w="-106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3615"/>
        <w:gridCol w:w="1984"/>
        <w:gridCol w:w="2010"/>
        <w:gridCol w:w="1444"/>
      </w:tblGrid>
      <w:tr w:rsidR="0009691D" w:rsidRPr="000E14D5" w:rsidTr="004154E2">
        <w:trPr>
          <w:trHeight w:val="556"/>
          <w:tblHeader/>
        </w:trPr>
        <w:tc>
          <w:tcPr>
            <w:tcW w:w="852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9691D" w:rsidRPr="000E35A6" w:rsidRDefault="0009691D" w:rsidP="00F20047">
            <w:pPr>
              <w:jc w:val="center"/>
            </w:pPr>
            <w:r w:rsidRPr="000E35A6">
              <w:t>№ п/п</w:t>
            </w:r>
          </w:p>
        </w:tc>
        <w:tc>
          <w:tcPr>
            <w:tcW w:w="3615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9691D" w:rsidRPr="000E35A6" w:rsidRDefault="0009691D" w:rsidP="00ED714C">
            <w:pPr>
              <w:jc w:val="center"/>
            </w:pPr>
            <w:r w:rsidRPr="000E35A6">
              <w:t xml:space="preserve">Наименование </w:t>
            </w:r>
            <w:r w:rsidR="00ED714C" w:rsidRPr="000E35A6">
              <w:t>показателя</w:t>
            </w:r>
          </w:p>
        </w:tc>
        <w:tc>
          <w:tcPr>
            <w:tcW w:w="1984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D714C" w:rsidRPr="000E35A6" w:rsidRDefault="00ED714C" w:rsidP="00F20047">
            <w:pPr>
              <w:jc w:val="center"/>
            </w:pPr>
            <w:r w:rsidRPr="000E35A6">
              <w:t>П</w:t>
            </w:r>
            <w:r w:rsidR="0009691D" w:rsidRPr="000E35A6">
              <w:t>лан</w:t>
            </w:r>
            <w:r w:rsidRPr="000E35A6">
              <w:t xml:space="preserve">, </w:t>
            </w:r>
          </w:p>
          <w:p w:rsidR="0009691D" w:rsidRPr="000E35A6" w:rsidRDefault="00ED714C" w:rsidP="00F20047">
            <w:pPr>
              <w:jc w:val="center"/>
            </w:pPr>
            <w:r w:rsidRPr="000E35A6">
              <w:t>тыс. руб.</w:t>
            </w:r>
          </w:p>
        </w:tc>
        <w:tc>
          <w:tcPr>
            <w:tcW w:w="2010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D714C" w:rsidRPr="000E35A6" w:rsidRDefault="00ED714C" w:rsidP="00F20047">
            <w:pPr>
              <w:jc w:val="center"/>
            </w:pPr>
            <w:r w:rsidRPr="000E35A6">
              <w:t>Ф</w:t>
            </w:r>
            <w:r w:rsidR="0009691D" w:rsidRPr="000E35A6">
              <w:t>акт</w:t>
            </w:r>
            <w:r w:rsidRPr="000E35A6">
              <w:t xml:space="preserve">, </w:t>
            </w:r>
          </w:p>
          <w:p w:rsidR="0009691D" w:rsidRPr="000E35A6" w:rsidRDefault="00ED714C" w:rsidP="00F20047">
            <w:pPr>
              <w:jc w:val="center"/>
            </w:pPr>
            <w:r w:rsidRPr="000E35A6">
              <w:t>тыс. руб.</w:t>
            </w:r>
          </w:p>
        </w:tc>
        <w:tc>
          <w:tcPr>
            <w:tcW w:w="1444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9691D" w:rsidRPr="000E35A6" w:rsidRDefault="0009691D" w:rsidP="00F20047">
            <w:pPr>
              <w:jc w:val="center"/>
            </w:pPr>
            <w:r w:rsidRPr="000E35A6">
              <w:t>% исполнения</w:t>
            </w:r>
          </w:p>
        </w:tc>
      </w:tr>
      <w:tr w:rsidR="00A228F1" w:rsidRPr="000E14D5" w:rsidTr="004154E2">
        <w:trPr>
          <w:trHeight w:val="416"/>
          <w:tblHeader/>
        </w:trPr>
        <w:tc>
          <w:tcPr>
            <w:tcW w:w="8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228F1" w:rsidRPr="00A228F1" w:rsidRDefault="00A228F1" w:rsidP="00F20047">
            <w:pPr>
              <w:jc w:val="center"/>
            </w:pPr>
            <w:r w:rsidRPr="00A228F1">
              <w:t>1</w:t>
            </w:r>
          </w:p>
        </w:tc>
        <w:tc>
          <w:tcPr>
            <w:tcW w:w="36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228F1" w:rsidRPr="00A228F1" w:rsidRDefault="00A228F1" w:rsidP="00F2004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8F1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228F1" w:rsidRPr="00A228F1" w:rsidRDefault="00A228F1" w:rsidP="00EE4CA8">
            <w:pPr>
              <w:jc w:val="center"/>
            </w:pPr>
            <w:r w:rsidRPr="00A228F1">
              <w:t>4 079 750,2</w:t>
            </w:r>
          </w:p>
        </w:tc>
        <w:tc>
          <w:tcPr>
            <w:tcW w:w="20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228F1" w:rsidRPr="00A228F1" w:rsidRDefault="00A228F1" w:rsidP="00EE4CA8">
            <w:pPr>
              <w:jc w:val="center"/>
            </w:pPr>
            <w:r w:rsidRPr="00A228F1">
              <w:t>4 234 275,3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228F1" w:rsidRPr="00A228F1" w:rsidRDefault="00A228F1" w:rsidP="00EE4CA8">
            <w:pPr>
              <w:jc w:val="center"/>
            </w:pPr>
            <w:r w:rsidRPr="00A228F1">
              <w:t>103,8</w:t>
            </w:r>
          </w:p>
        </w:tc>
      </w:tr>
      <w:tr w:rsidR="00B0786B" w:rsidRPr="000E14D5" w:rsidTr="004154E2">
        <w:trPr>
          <w:trHeight w:val="414"/>
          <w:tblHeader/>
        </w:trPr>
        <w:tc>
          <w:tcPr>
            <w:tcW w:w="852" w:type="dxa"/>
            <w:shd w:val="clear" w:color="auto" w:fill="auto"/>
            <w:vAlign w:val="center"/>
          </w:tcPr>
          <w:p w:rsidR="00B0786B" w:rsidRPr="000E35A6" w:rsidRDefault="00B0786B" w:rsidP="00F20047">
            <w:pPr>
              <w:jc w:val="center"/>
            </w:pPr>
            <w:r w:rsidRPr="000E35A6">
              <w:t>2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B0786B" w:rsidRPr="000E35A6" w:rsidRDefault="00B0786B" w:rsidP="00F20047">
            <w:r w:rsidRPr="000E35A6">
              <w:t>Расходы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786B" w:rsidRPr="003335A3" w:rsidRDefault="003335A3" w:rsidP="003335A3">
            <w:pPr>
              <w:jc w:val="center"/>
              <w:rPr>
                <w:color w:val="000000"/>
              </w:rPr>
            </w:pPr>
            <w:r w:rsidRPr="003335A3">
              <w:rPr>
                <w:color w:val="000000"/>
              </w:rPr>
              <w:t xml:space="preserve">4 208 081,4 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B0786B" w:rsidRPr="003335A3" w:rsidRDefault="003335A3" w:rsidP="003335A3">
            <w:pPr>
              <w:jc w:val="center"/>
              <w:rPr>
                <w:color w:val="000000"/>
              </w:rPr>
            </w:pPr>
            <w:r w:rsidRPr="003335A3">
              <w:rPr>
                <w:color w:val="000000"/>
              </w:rPr>
              <w:t>4 072 824, 8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B0786B" w:rsidRPr="00870365" w:rsidRDefault="00870365" w:rsidP="00870365">
            <w:pPr>
              <w:jc w:val="center"/>
            </w:pPr>
            <w:r w:rsidRPr="00870365">
              <w:t>96,8</w:t>
            </w:r>
          </w:p>
        </w:tc>
      </w:tr>
      <w:tr w:rsidR="00A228F1" w:rsidRPr="000E14D5" w:rsidTr="004154E2">
        <w:trPr>
          <w:trHeight w:val="421"/>
          <w:tblHeader/>
        </w:trPr>
        <w:tc>
          <w:tcPr>
            <w:tcW w:w="852" w:type="dxa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A228F1" w:rsidRPr="00A228F1" w:rsidRDefault="00A228F1" w:rsidP="00F20047">
            <w:pPr>
              <w:jc w:val="center"/>
            </w:pPr>
            <w:r w:rsidRPr="00A228F1">
              <w:t>3</w:t>
            </w:r>
          </w:p>
        </w:tc>
        <w:tc>
          <w:tcPr>
            <w:tcW w:w="3615" w:type="dxa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A228F1" w:rsidRPr="00A228F1" w:rsidRDefault="00A228F1" w:rsidP="00F20047">
            <w:r w:rsidRPr="00A228F1">
              <w:t>Дефицит (-) /Профицит (+)</w:t>
            </w:r>
          </w:p>
        </w:tc>
        <w:tc>
          <w:tcPr>
            <w:tcW w:w="1984" w:type="dxa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A228F1" w:rsidRPr="00A228F1" w:rsidRDefault="00A228F1" w:rsidP="00EE4CA8">
            <w:pPr>
              <w:jc w:val="center"/>
            </w:pPr>
            <w:r w:rsidRPr="00A228F1">
              <w:t>- 128 331,2</w:t>
            </w:r>
          </w:p>
        </w:tc>
        <w:tc>
          <w:tcPr>
            <w:tcW w:w="2010" w:type="dxa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A228F1" w:rsidRPr="00A228F1" w:rsidRDefault="00A228F1" w:rsidP="00EE4CA8">
            <w:pPr>
              <w:jc w:val="center"/>
            </w:pPr>
            <w:r w:rsidRPr="00A228F1">
              <w:t>161 450,5</w:t>
            </w:r>
          </w:p>
        </w:tc>
        <w:tc>
          <w:tcPr>
            <w:tcW w:w="1444" w:type="dxa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A228F1" w:rsidRPr="000E14D5" w:rsidRDefault="00A228F1" w:rsidP="00F20047">
            <w:pPr>
              <w:jc w:val="center"/>
              <w:rPr>
                <w:highlight w:val="yellow"/>
                <w:lang w:val="en-US"/>
              </w:rPr>
            </w:pPr>
          </w:p>
        </w:tc>
      </w:tr>
    </w:tbl>
    <w:p w:rsidR="004C1AB5" w:rsidRPr="00A706B9" w:rsidRDefault="004C1AB5" w:rsidP="004C1AB5">
      <w:pPr>
        <w:ind w:firstLine="709"/>
        <w:jc w:val="both"/>
        <w:rPr>
          <w:sz w:val="28"/>
          <w:szCs w:val="28"/>
        </w:rPr>
      </w:pPr>
      <w:r w:rsidRPr="004C1AB5">
        <w:rPr>
          <w:sz w:val="28"/>
          <w:szCs w:val="28"/>
        </w:rPr>
        <w:t>Уровень дефицита местного бюджета по отношению к доходам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составил -10,7 %, что менее запланировано (не более 10,0%) и находиться в пределах, установленных Бюджетном Кодексом РФ.</w:t>
      </w:r>
    </w:p>
    <w:p w:rsidR="000B3577" w:rsidRPr="00C27715" w:rsidRDefault="000B3577" w:rsidP="008F50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27715">
        <w:rPr>
          <w:rFonts w:ascii="Times New Roman" w:hAnsi="Times New Roman"/>
          <w:sz w:val="28"/>
          <w:szCs w:val="28"/>
        </w:rPr>
        <w:t xml:space="preserve">Индикаторы, установленные </w:t>
      </w:r>
      <w:r w:rsidR="002E0E22" w:rsidRPr="00C27715">
        <w:rPr>
          <w:rFonts w:ascii="Times New Roman" w:hAnsi="Times New Roman"/>
          <w:sz w:val="28"/>
          <w:szCs w:val="28"/>
        </w:rPr>
        <w:t>для расходных параметров,</w:t>
      </w:r>
      <w:r w:rsidRPr="00C27715">
        <w:rPr>
          <w:rFonts w:ascii="Times New Roman" w:hAnsi="Times New Roman"/>
          <w:sz w:val="28"/>
          <w:szCs w:val="28"/>
        </w:rPr>
        <w:t xml:space="preserve"> соответствуют плановым назначениям.</w:t>
      </w:r>
    </w:p>
    <w:p w:rsidR="00634ADB" w:rsidRPr="00C27715" w:rsidRDefault="00634ADB" w:rsidP="00E124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27715">
        <w:rPr>
          <w:sz w:val="28"/>
          <w:szCs w:val="28"/>
        </w:rPr>
        <w:t>В соответствии с приказами</w:t>
      </w:r>
      <w:r w:rsidR="000B3577" w:rsidRPr="00C27715">
        <w:rPr>
          <w:sz w:val="28"/>
          <w:szCs w:val="28"/>
        </w:rPr>
        <w:t xml:space="preserve"> Министерства финансов</w:t>
      </w:r>
      <w:r w:rsidR="00B728F4" w:rsidRPr="00C27715">
        <w:rPr>
          <w:sz w:val="28"/>
          <w:szCs w:val="28"/>
        </w:rPr>
        <w:t xml:space="preserve"> России от 28.10.2010 № 191-н «</w:t>
      </w:r>
      <w:r w:rsidR="00B728F4" w:rsidRPr="00C27715">
        <w:rPr>
          <w:rFonts w:eastAsia="Calibri"/>
          <w:sz w:val="28"/>
          <w:szCs w:val="28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B728F4" w:rsidRPr="00C27715">
        <w:rPr>
          <w:sz w:val="28"/>
          <w:szCs w:val="28"/>
        </w:rPr>
        <w:t xml:space="preserve"> и от 25.03.2011 </w:t>
      </w:r>
      <w:r w:rsidR="00C27715">
        <w:rPr>
          <w:sz w:val="28"/>
          <w:szCs w:val="28"/>
        </w:rPr>
        <w:t xml:space="preserve">             </w:t>
      </w:r>
      <w:r w:rsidR="00B728F4" w:rsidRPr="00C27715">
        <w:rPr>
          <w:sz w:val="28"/>
          <w:szCs w:val="28"/>
        </w:rPr>
        <w:t>№ 33н «</w:t>
      </w:r>
      <w:r w:rsidR="00B728F4" w:rsidRPr="00C27715">
        <w:rPr>
          <w:rFonts w:eastAsia="Calibri"/>
          <w:sz w:val="28"/>
          <w:szCs w:val="28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  <w:r w:rsidR="008903C0" w:rsidRPr="00C27715">
        <w:rPr>
          <w:rFonts w:eastAsia="Calibri"/>
          <w:sz w:val="28"/>
          <w:szCs w:val="28"/>
        </w:rPr>
        <w:t xml:space="preserve"> </w:t>
      </w:r>
      <w:r w:rsidR="00D204AD" w:rsidRPr="00C27715">
        <w:rPr>
          <w:rFonts w:eastAsia="Calibri"/>
          <w:sz w:val="28"/>
          <w:szCs w:val="28"/>
        </w:rPr>
        <w:t xml:space="preserve">от главных распорядителей бюджетных средств </w:t>
      </w:r>
      <w:r w:rsidRPr="00C27715">
        <w:rPr>
          <w:rFonts w:eastAsia="Calibri"/>
          <w:sz w:val="28"/>
          <w:szCs w:val="28"/>
        </w:rPr>
        <w:t>была принята, составлена и предоставлена бюджетная отчетность по формам, утвержденным вышеуказанными инструкциями.</w:t>
      </w:r>
    </w:p>
    <w:p w:rsidR="00634ADB" w:rsidRPr="002025A7" w:rsidRDefault="00634ADB" w:rsidP="00634A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025A7">
        <w:rPr>
          <w:rFonts w:eastAsia="Calibri"/>
          <w:sz w:val="28"/>
          <w:szCs w:val="28"/>
        </w:rPr>
        <w:t>Бюджетная отчетность составлялась главными распорядителями, распорядителями, получателями бюджетных средств, администраторами доходов бюджетов, администраторами источников финансирования дефицита бюджетов, финансовыми органами на следующие отчетные даты:</w:t>
      </w:r>
    </w:p>
    <w:p w:rsidR="00634ADB" w:rsidRPr="002025A7" w:rsidRDefault="00634ADB" w:rsidP="004419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025A7">
        <w:rPr>
          <w:rFonts w:eastAsia="Calibri"/>
          <w:sz w:val="28"/>
          <w:szCs w:val="28"/>
        </w:rPr>
        <w:t>- месячная отчетность: на первое число месяца, следующего за отчетным месяцем;</w:t>
      </w:r>
    </w:p>
    <w:p w:rsidR="003B7071" w:rsidRPr="002025A7" w:rsidRDefault="00634ADB" w:rsidP="004419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025A7">
        <w:rPr>
          <w:rFonts w:eastAsia="Calibri"/>
          <w:sz w:val="28"/>
          <w:szCs w:val="28"/>
        </w:rPr>
        <w:t>- квартальная: по состоянию на 1 апреля, 1</w:t>
      </w:r>
      <w:r w:rsidR="003B7071" w:rsidRPr="002025A7">
        <w:rPr>
          <w:rFonts w:eastAsia="Calibri"/>
          <w:sz w:val="28"/>
          <w:szCs w:val="28"/>
        </w:rPr>
        <w:t xml:space="preserve"> июля и 1 октября текущего года;</w:t>
      </w:r>
    </w:p>
    <w:p w:rsidR="00634ADB" w:rsidRPr="002025A7" w:rsidRDefault="003B7071" w:rsidP="004419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025A7">
        <w:rPr>
          <w:rFonts w:eastAsia="Calibri"/>
          <w:sz w:val="28"/>
          <w:szCs w:val="28"/>
        </w:rPr>
        <w:t xml:space="preserve">- годовая: </w:t>
      </w:r>
      <w:r w:rsidR="00634ADB" w:rsidRPr="002025A7">
        <w:rPr>
          <w:rFonts w:eastAsia="Calibri"/>
          <w:sz w:val="28"/>
          <w:szCs w:val="28"/>
        </w:rPr>
        <w:t>на 1 января года, следующего за отчетным</w:t>
      </w:r>
      <w:r w:rsidRPr="002025A7">
        <w:rPr>
          <w:rFonts w:eastAsia="Calibri"/>
          <w:sz w:val="28"/>
          <w:szCs w:val="28"/>
        </w:rPr>
        <w:t>.</w:t>
      </w:r>
    </w:p>
    <w:p w:rsidR="003B7071" w:rsidRPr="000E14D5" w:rsidRDefault="003B7071" w:rsidP="00634A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2025A7">
        <w:rPr>
          <w:rFonts w:eastAsia="Calibri"/>
          <w:sz w:val="28"/>
          <w:szCs w:val="28"/>
        </w:rPr>
        <w:t>Организованна и проведена работа по своду и составлению отчетности об исполнении бюджета городского окр</w:t>
      </w:r>
      <w:r w:rsidR="005128C5">
        <w:rPr>
          <w:rFonts w:eastAsia="Calibri"/>
          <w:sz w:val="28"/>
          <w:szCs w:val="28"/>
        </w:rPr>
        <w:t>уга за 2020</w:t>
      </w:r>
      <w:r w:rsidR="000529C5" w:rsidRPr="002025A7">
        <w:rPr>
          <w:rFonts w:eastAsia="Calibri"/>
          <w:sz w:val="28"/>
          <w:szCs w:val="28"/>
        </w:rPr>
        <w:t xml:space="preserve"> год, а также</w:t>
      </w:r>
      <w:r w:rsidRPr="002025A7">
        <w:rPr>
          <w:rFonts w:eastAsia="Calibri"/>
          <w:sz w:val="28"/>
          <w:szCs w:val="28"/>
        </w:rPr>
        <w:t xml:space="preserve"> п</w:t>
      </w:r>
      <w:r w:rsidR="0090276C" w:rsidRPr="002025A7">
        <w:rPr>
          <w:rFonts w:eastAsia="Calibri"/>
          <w:sz w:val="28"/>
          <w:szCs w:val="28"/>
        </w:rPr>
        <w:t>омесячно, и поквартально за</w:t>
      </w:r>
      <w:r w:rsidR="009825B9">
        <w:rPr>
          <w:rFonts w:eastAsia="Calibri"/>
          <w:sz w:val="28"/>
          <w:szCs w:val="28"/>
        </w:rPr>
        <w:t xml:space="preserve"> 2021</w:t>
      </w:r>
      <w:r w:rsidR="002025A7" w:rsidRPr="002025A7">
        <w:rPr>
          <w:rFonts w:eastAsia="Calibri"/>
          <w:sz w:val="28"/>
          <w:szCs w:val="28"/>
        </w:rPr>
        <w:t xml:space="preserve"> </w:t>
      </w:r>
      <w:r w:rsidRPr="002025A7">
        <w:rPr>
          <w:rFonts w:eastAsia="Calibri"/>
          <w:sz w:val="28"/>
          <w:szCs w:val="28"/>
        </w:rPr>
        <w:t xml:space="preserve">год.  </w:t>
      </w:r>
    </w:p>
    <w:p w:rsidR="00984561" w:rsidRPr="00B20DE2" w:rsidRDefault="00984561" w:rsidP="00634A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20DE2">
        <w:rPr>
          <w:rFonts w:eastAsia="Calibri"/>
          <w:sz w:val="28"/>
          <w:szCs w:val="28"/>
        </w:rPr>
        <w:t xml:space="preserve">Главные распорядители бюджетных средств и подведомственные им учреждения работают о Едином комплексе автоматизированного </w:t>
      </w:r>
      <w:r w:rsidRPr="00B20DE2">
        <w:rPr>
          <w:rFonts w:eastAsia="Calibri"/>
          <w:sz w:val="28"/>
          <w:szCs w:val="28"/>
        </w:rPr>
        <w:lastRenderedPageBreak/>
        <w:t>бюджетного учета: программе 1С: «Бухгалтерия для бюджетных учреждений», «АЦК-финансы», «АЦК-планирование».</w:t>
      </w:r>
    </w:p>
    <w:p w:rsidR="008020B0" w:rsidRPr="00A644A7" w:rsidRDefault="008020B0" w:rsidP="008020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644A7">
        <w:rPr>
          <w:rFonts w:eastAsia="Calibri"/>
          <w:sz w:val="28"/>
          <w:szCs w:val="28"/>
        </w:rPr>
        <w:t xml:space="preserve">В соответствии со статьей 81 </w:t>
      </w:r>
      <w:r w:rsidR="0021256D" w:rsidRPr="00A644A7">
        <w:rPr>
          <w:rFonts w:eastAsia="Calibri"/>
          <w:sz w:val="28"/>
          <w:szCs w:val="28"/>
        </w:rPr>
        <w:t xml:space="preserve">Бюджетного </w:t>
      </w:r>
      <w:r w:rsidR="0021256D" w:rsidRPr="00A644A7">
        <w:rPr>
          <w:sz w:val="28"/>
          <w:szCs w:val="28"/>
        </w:rPr>
        <w:t>Кодексом РФ</w:t>
      </w:r>
      <w:r w:rsidR="00855058" w:rsidRPr="00A644A7">
        <w:rPr>
          <w:sz w:val="28"/>
          <w:szCs w:val="28"/>
        </w:rPr>
        <w:t xml:space="preserve">, </w:t>
      </w:r>
      <w:r w:rsidRPr="00A644A7">
        <w:rPr>
          <w:bCs/>
          <w:sz w:val="28"/>
          <w:szCs w:val="28"/>
        </w:rPr>
        <w:t xml:space="preserve">порядком использования бюджетных ассигнований резервного фонда администрации городского округа город Бор, утвержденным постановлением администрации городского округа г. Бор от </w:t>
      </w:r>
      <w:r w:rsidRPr="00A644A7">
        <w:rPr>
          <w:sz w:val="28"/>
          <w:szCs w:val="28"/>
        </w:rPr>
        <w:t>30.12.2014 № 9714</w:t>
      </w:r>
      <w:r w:rsidR="00142A4B" w:rsidRPr="00A644A7">
        <w:rPr>
          <w:sz w:val="28"/>
          <w:szCs w:val="28"/>
        </w:rPr>
        <w:t xml:space="preserve"> создан</w:t>
      </w:r>
      <w:r w:rsidRPr="00A644A7">
        <w:rPr>
          <w:bCs/>
          <w:sz w:val="28"/>
          <w:szCs w:val="28"/>
        </w:rPr>
        <w:t xml:space="preserve"> р</w:t>
      </w:r>
      <w:r w:rsidR="00855058" w:rsidRPr="00A644A7">
        <w:rPr>
          <w:bCs/>
          <w:sz w:val="28"/>
          <w:szCs w:val="28"/>
        </w:rPr>
        <w:t>езервный фонд администрации городского округа город Бор для финансового обеспечения непредвиденных расходов, не предусмотренных решением Совета депутатов о бюджете городского округа г. Бор на текущий финансовый год, которые не могут быть отложены до утверждения бюджета на следующий финансовый год.</w:t>
      </w:r>
      <w:r w:rsidR="00142A4B" w:rsidRPr="00A644A7">
        <w:rPr>
          <w:bCs/>
          <w:sz w:val="28"/>
          <w:szCs w:val="28"/>
        </w:rPr>
        <w:t xml:space="preserve"> </w:t>
      </w:r>
      <w:r w:rsidRPr="00A644A7">
        <w:rPr>
          <w:bCs/>
          <w:sz w:val="28"/>
          <w:szCs w:val="28"/>
        </w:rPr>
        <w:t>Средства, выделяемые из резервного фонда, использованы по целевому назначению, определяемому в соответствии с постановлениями администрации городского округа.</w:t>
      </w:r>
    </w:p>
    <w:p w:rsidR="00AD21EC" w:rsidRPr="00FD1D07" w:rsidRDefault="00AD21EC" w:rsidP="00AD21EC">
      <w:pPr>
        <w:ind w:firstLine="709"/>
        <w:jc w:val="both"/>
        <w:rPr>
          <w:sz w:val="28"/>
          <w:szCs w:val="28"/>
        </w:rPr>
      </w:pPr>
      <w:r w:rsidRPr="00FD1D07">
        <w:rPr>
          <w:sz w:val="28"/>
          <w:szCs w:val="28"/>
        </w:rPr>
        <w:t>В рамках реализации Подпрограммы «Повышение эффективности бюджетных расходов городского округа город Бор»</w:t>
      </w:r>
      <w:r w:rsidR="004D13CC" w:rsidRPr="00FD1D07">
        <w:rPr>
          <w:sz w:val="28"/>
          <w:szCs w:val="28"/>
        </w:rPr>
        <w:t xml:space="preserve"> </w:t>
      </w:r>
      <w:r w:rsidRPr="00FD1D07">
        <w:rPr>
          <w:sz w:val="28"/>
          <w:szCs w:val="28"/>
        </w:rPr>
        <w:t>все основные мероприятия</w:t>
      </w:r>
      <w:r w:rsidR="0020212B" w:rsidRPr="00FD1D07">
        <w:rPr>
          <w:sz w:val="28"/>
          <w:szCs w:val="28"/>
        </w:rPr>
        <w:t>,</w:t>
      </w:r>
      <w:r w:rsidR="00142A4B" w:rsidRPr="00FD1D07">
        <w:rPr>
          <w:sz w:val="28"/>
          <w:szCs w:val="28"/>
        </w:rPr>
        <w:t xml:space="preserve"> </w:t>
      </w:r>
      <w:r w:rsidR="00A81779">
        <w:rPr>
          <w:sz w:val="28"/>
          <w:szCs w:val="28"/>
        </w:rPr>
        <w:t>подлежащие реализации в 2021</w:t>
      </w:r>
      <w:r w:rsidR="0020212B" w:rsidRPr="00FD1D07">
        <w:rPr>
          <w:sz w:val="28"/>
          <w:szCs w:val="28"/>
        </w:rPr>
        <w:t xml:space="preserve"> году,</w:t>
      </w:r>
      <w:r w:rsidRPr="00FD1D07">
        <w:rPr>
          <w:sz w:val="28"/>
          <w:szCs w:val="28"/>
        </w:rPr>
        <w:t xml:space="preserve"> выполнены в полном объеме и достигнуты следующие результаты:</w:t>
      </w:r>
    </w:p>
    <w:p w:rsidR="00AD21EC" w:rsidRPr="00247378" w:rsidRDefault="00AD21EC" w:rsidP="00EA05E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47378">
        <w:rPr>
          <w:rFonts w:eastAsia="Calibri"/>
          <w:sz w:val="28"/>
          <w:szCs w:val="28"/>
        </w:rPr>
        <w:t xml:space="preserve">1) </w:t>
      </w:r>
      <w:r w:rsidR="00B703D1">
        <w:rPr>
          <w:rFonts w:eastAsia="Calibri"/>
          <w:sz w:val="28"/>
          <w:szCs w:val="28"/>
        </w:rPr>
        <w:t>Б</w:t>
      </w:r>
      <w:r w:rsidRPr="00247378">
        <w:rPr>
          <w:rFonts w:eastAsia="Calibri"/>
          <w:sz w:val="28"/>
          <w:szCs w:val="28"/>
        </w:rPr>
        <w:t>юджет</w:t>
      </w:r>
      <w:r w:rsidR="00B703D1">
        <w:rPr>
          <w:rFonts w:eastAsia="Calibri"/>
          <w:sz w:val="28"/>
          <w:szCs w:val="28"/>
        </w:rPr>
        <w:t xml:space="preserve"> городского округа город Бор</w:t>
      </w:r>
      <w:r w:rsidRPr="00247378">
        <w:rPr>
          <w:rFonts w:eastAsia="Calibri"/>
          <w:sz w:val="28"/>
          <w:szCs w:val="28"/>
        </w:rPr>
        <w:t xml:space="preserve"> сформирован в программном формате, с учетом планируемых результатов по муниципальным программам;</w:t>
      </w:r>
    </w:p>
    <w:p w:rsidR="00AE2F42" w:rsidRPr="00247378" w:rsidRDefault="00AE2F42" w:rsidP="00EA05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378">
        <w:rPr>
          <w:rFonts w:eastAsia="Calibri"/>
          <w:sz w:val="28"/>
          <w:szCs w:val="28"/>
        </w:rPr>
        <w:t xml:space="preserve">2) </w:t>
      </w:r>
      <w:r w:rsidRPr="00247378">
        <w:rPr>
          <w:sz w:val="28"/>
          <w:szCs w:val="28"/>
        </w:rPr>
        <w:t>муниципальные программы городского округа город Бор утверждены и реализуются в соответствии с действующим законодательством;</w:t>
      </w:r>
    </w:p>
    <w:p w:rsidR="00AD21EC" w:rsidRPr="00247378" w:rsidRDefault="00AE2F42" w:rsidP="00EA05E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7378">
        <w:rPr>
          <w:rFonts w:eastAsia="Calibri"/>
          <w:sz w:val="28"/>
          <w:szCs w:val="28"/>
        </w:rPr>
        <w:t>3</w:t>
      </w:r>
      <w:r w:rsidR="00AD21EC" w:rsidRPr="00247378">
        <w:rPr>
          <w:rFonts w:eastAsia="Calibri"/>
          <w:sz w:val="28"/>
          <w:szCs w:val="28"/>
        </w:rPr>
        <w:t>)</w:t>
      </w:r>
      <w:r w:rsidR="008903C0" w:rsidRPr="00247378">
        <w:rPr>
          <w:rFonts w:eastAsia="Calibri"/>
          <w:sz w:val="28"/>
          <w:szCs w:val="28"/>
        </w:rPr>
        <w:t xml:space="preserve"> </w:t>
      </w:r>
      <w:r w:rsidR="00AD21EC" w:rsidRPr="00247378">
        <w:rPr>
          <w:sz w:val="28"/>
          <w:szCs w:val="28"/>
        </w:rPr>
        <w:t xml:space="preserve">предоставляемые муниципальные услуги соответствуют </w:t>
      </w:r>
      <w:r w:rsidR="00AD21EC" w:rsidRPr="00247378">
        <w:rPr>
          <w:rFonts w:eastAsia="Calibri"/>
          <w:sz w:val="28"/>
          <w:szCs w:val="28"/>
          <w:lang w:eastAsia="en-US"/>
        </w:rPr>
        <w:t>общероссийским базовым (отраслевым) перечням (классификаторам) государственных и муниципальных услуг, оказываемых физическим лицам и работ, оказываемых и выполняемых государственными (муниципальными) учреждениями</w:t>
      </w:r>
      <w:r w:rsidR="00AD21EC" w:rsidRPr="00247378">
        <w:rPr>
          <w:sz w:val="28"/>
          <w:szCs w:val="28"/>
        </w:rPr>
        <w:t>, а также</w:t>
      </w:r>
      <w:r w:rsidR="00247378" w:rsidRPr="00247378">
        <w:rPr>
          <w:sz w:val="28"/>
          <w:szCs w:val="28"/>
        </w:rPr>
        <w:t xml:space="preserve"> </w:t>
      </w:r>
      <w:r w:rsidR="00AD21EC" w:rsidRPr="00247378">
        <w:rPr>
          <w:rFonts w:eastAsia="Calibri"/>
          <w:sz w:val="28"/>
          <w:szCs w:val="28"/>
          <w:lang w:eastAsia="en-US"/>
        </w:rPr>
        <w:t>региональному перечню (классификатору)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оказываемых и выполняемых государственными (муниципальными) учреждениями;</w:t>
      </w:r>
    </w:p>
    <w:p w:rsidR="00BC6B4D" w:rsidRPr="00FA7243" w:rsidRDefault="00BC6B4D" w:rsidP="00F259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A7243">
        <w:rPr>
          <w:rFonts w:eastAsia="Calibri"/>
          <w:sz w:val="28"/>
          <w:szCs w:val="28"/>
        </w:rPr>
        <w:t>Удельный вес муниципальных уч</w:t>
      </w:r>
      <w:r w:rsidR="000F570F" w:rsidRPr="00FA7243">
        <w:rPr>
          <w:rFonts w:eastAsia="Calibri"/>
          <w:sz w:val="28"/>
          <w:szCs w:val="28"/>
        </w:rPr>
        <w:t>реждений городского округа г.</w:t>
      </w:r>
      <w:r w:rsidRPr="00FA7243">
        <w:rPr>
          <w:rFonts w:eastAsia="Calibri"/>
          <w:sz w:val="28"/>
          <w:szCs w:val="28"/>
        </w:rPr>
        <w:t xml:space="preserve"> Бор, выполнивших в полном объеме муниципальное задание</w:t>
      </w:r>
      <w:r w:rsidR="009478E8" w:rsidRPr="00FA7243">
        <w:rPr>
          <w:rFonts w:eastAsia="Calibri"/>
          <w:sz w:val="28"/>
          <w:szCs w:val="28"/>
        </w:rPr>
        <w:t xml:space="preserve"> </w:t>
      </w:r>
      <w:r w:rsidR="000F570F" w:rsidRPr="00FA7243">
        <w:rPr>
          <w:rFonts w:eastAsia="Calibri"/>
          <w:sz w:val="28"/>
          <w:szCs w:val="28"/>
        </w:rPr>
        <w:t>достиг</w:t>
      </w:r>
      <w:r w:rsidR="00B703D1">
        <w:rPr>
          <w:rFonts w:eastAsia="Calibri"/>
          <w:sz w:val="28"/>
          <w:szCs w:val="28"/>
        </w:rPr>
        <w:t xml:space="preserve"> 100</w:t>
      </w:r>
      <w:r w:rsidRPr="00FA7243">
        <w:rPr>
          <w:rFonts w:eastAsia="Calibri"/>
          <w:sz w:val="28"/>
          <w:szCs w:val="28"/>
        </w:rPr>
        <w:t xml:space="preserve"> %, </w:t>
      </w:r>
      <w:r w:rsidR="000F570F" w:rsidRPr="00FA7243">
        <w:rPr>
          <w:rFonts w:eastAsia="Calibri"/>
          <w:sz w:val="28"/>
          <w:szCs w:val="28"/>
        </w:rPr>
        <w:t>от</w:t>
      </w:r>
      <w:r w:rsidRPr="00FA7243">
        <w:rPr>
          <w:rFonts w:eastAsia="Calibri"/>
          <w:sz w:val="28"/>
          <w:szCs w:val="28"/>
        </w:rPr>
        <w:t xml:space="preserve"> запланированного значения. </w:t>
      </w:r>
    </w:p>
    <w:p w:rsidR="00AE2F42" w:rsidRPr="000D4AAD" w:rsidRDefault="00AE2F42" w:rsidP="00EA05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AAD">
        <w:rPr>
          <w:rFonts w:eastAsia="Calibri"/>
          <w:sz w:val="28"/>
          <w:szCs w:val="28"/>
          <w:lang w:eastAsia="en-US"/>
        </w:rPr>
        <w:t>4)</w:t>
      </w:r>
      <w:r w:rsidR="00CC2788" w:rsidRPr="000D4AAD">
        <w:rPr>
          <w:rFonts w:eastAsia="Calibri"/>
          <w:sz w:val="28"/>
          <w:szCs w:val="28"/>
          <w:lang w:eastAsia="en-US"/>
        </w:rPr>
        <w:t xml:space="preserve"> </w:t>
      </w:r>
      <w:r w:rsidRPr="000D4AAD">
        <w:rPr>
          <w:sz w:val="28"/>
          <w:szCs w:val="28"/>
        </w:rPr>
        <w:t>обеспечено стабильное количество главных распорядителей средств бюджета, улучшивших качество финансового менеджмента;</w:t>
      </w:r>
    </w:p>
    <w:p w:rsidR="00192076" w:rsidRDefault="0000410E" w:rsidP="00EA05E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1513">
        <w:rPr>
          <w:sz w:val="28"/>
          <w:szCs w:val="28"/>
        </w:rPr>
        <w:t xml:space="preserve">Удельный вес расходов на финансовое обеспечение оказания бюджетными и автономными учреждениями городского округа город Бор муниципальных услуг, рассчитанных исходя из нормативов финансовых затрат, в общем объеме расходов на предоставление субсидий на выполнение муниципальных заданий </w:t>
      </w:r>
      <w:r w:rsidRPr="0058745D">
        <w:rPr>
          <w:sz w:val="28"/>
          <w:szCs w:val="28"/>
        </w:rPr>
        <w:t>составил</w:t>
      </w:r>
      <w:r w:rsidR="00192076">
        <w:rPr>
          <w:sz w:val="28"/>
          <w:szCs w:val="28"/>
        </w:rPr>
        <w:t xml:space="preserve"> 100 %.</w:t>
      </w:r>
      <w:r w:rsidRPr="0058745D">
        <w:rPr>
          <w:sz w:val="28"/>
          <w:szCs w:val="28"/>
        </w:rPr>
        <w:t xml:space="preserve"> </w:t>
      </w:r>
    </w:p>
    <w:p w:rsidR="00AE2F42" w:rsidRPr="00926BC5" w:rsidRDefault="00AE2F42" w:rsidP="00EA05E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6BC5">
        <w:rPr>
          <w:sz w:val="28"/>
          <w:szCs w:val="28"/>
        </w:rPr>
        <w:t>5) обеспечен стабильный уровень соотношения количества руководителей подразделений органов местного самоуп</w:t>
      </w:r>
      <w:r w:rsidR="001E2DA9" w:rsidRPr="00926BC5">
        <w:rPr>
          <w:sz w:val="28"/>
          <w:szCs w:val="28"/>
        </w:rPr>
        <w:t>равления городского округа г.</w:t>
      </w:r>
      <w:r w:rsidRPr="00926BC5">
        <w:rPr>
          <w:sz w:val="28"/>
          <w:szCs w:val="28"/>
        </w:rPr>
        <w:t xml:space="preserve"> Бор, руководителей муниципальных уч</w:t>
      </w:r>
      <w:r w:rsidR="001E2DA9" w:rsidRPr="00926BC5">
        <w:rPr>
          <w:sz w:val="28"/>
          <w:szCs w:val="28"/>
        </w:rPr>
        <w:t xml:space="preserve">реждений городского округа </w:t>
      </w:r>
      <w:r w:rsidR="001E2DA9" w:rsidRPr="00926BC5">
        <w:rPr>
          <w:sz w:val="28"/>
          <w:szCs w:val="28"/>
        </w:rPr>
        <w:lastRenderedPageBreak/>
        <w:t>г.</w:t>
      </w:r>
      <w:r w:rsidRPr="00926BC5">
        <w:rPr>
          <w:sz w:val="28"/>
          <w:szCs w:val="28"/>
        </w:rPr>
        <w:t xml:space="preserve"> Бор, для которых оплата труда определяется с учетом результатов их профессиональной деятельности, в общем количестве руководителей подразделений органов местного самоуп</w:t>
      </w:r>
      <w:r w:rsidR="00FC6352" w:rsidRPr="00926BC5">
        <w:rPr>
          <w:sz w:val="28"/>
          <w:szCs w:val="28"/>
        </w:rPr>
        <w:t>равления городского округа г.</w:t>
      </w:r>
      <w:r w:rsidRPr="00926BC5">
        <w:rPr>
          <w:sz w:val="28"/>
          <w:szCs w:val="28"/>
        </w:rPr>
        <w:t xml:space="preserve"> Бор, руководителей муниципальных уч</w:t>
      </w:r>
      <w:r w:rsidR="00FC6352" w:rsidRPr="00926BC5">
        <w:rPr>
          <w:sz w:val="28"/>
          <w:szCs w:val="28"/>
        </w:rPr>
        <w:t>реждений городского округа г.</w:t>
      </w:r>
      <w:r w:rsidRPr="00926BC5">
        <w:rPr>
          <w:sz w:val="28"/>
          <w:szCs w:val="28"/>
        </w:rPr>
        <w:t xml:space="preserve"> Бор</w:t>
      </w:r>
      <w:r w:rsidR="00DB5080" w:rsidRPr="00926BC5">
        <w:rPr>
          <w:sz w:val="28"/>
          <w:szCs w:val="28"/>
        </w:rPr>
        <w:t>;</w:t>
      </w:r>
    </w:p>
    <w:p w:rsidR="00AD21EC" w:rsidRPr="009A5940" w:rsidRDefault="00EA05EE" w:rsidP="00EA05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5940">
        <w:rPr>
          <w:rFonts w:eastAsia="Calibri"/>
          <w:sz w:val="28"/>
          <w:szCs w:val="28"/>
        </w:rPr>
        <w:t>6</w:t>
      </w:r>
      <w:r w:rsidR="00AD21EC" w:rsidRPr="009A5940">
        <w:rPr>
          <w:rFonts w:eastAsia="Calibri"/>
          <w:sz w:val="28"/>
          <w:szCs w:val="28"/>
        </w:rPr>
        <w:t>) информация о предоставляемых муниципальных услугах, формировании и исполнении бюджета доступна для всех граждан.</w:t>
      </w:r>
    </w:p>
    <w:p w:rsidR="00136B40" w:rsidRPr="000E14D5" w:rsidRDefault="00136B40" w:rsidP="00136B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9A5940">
        <w:rPr>
          <w:rFonts w:eastAsia="Calibri"/>
          <w:sz w:val="28"/>
          <w:szCs w:val="28"/>
        </w:rPr>
        <w:t xml:space="preserve">По данным мониторинга посещаемости сайта в информационно-телекоммуникационной сети «Интернет» прирост посещаемости сайта Департамента финансов </w:t>
      </w:r>
      <w:hyperlink r:id="rId7" w:history="1">
        <w:r w:rsidRPr="009A5940">
          <w:rPr>
            <w:rStyle w:val="a3"/>
            <w:rFonts w:eastAsia="Calibri"/>
            <w:color w:val="auto"/>
            <w:sz w:val="28"/>
            <w:szCs w:val="28"/>
          </w:rPr>
          <w:t>http://www.bor-fin.ru</w:t>
        </w:r>
      </w:hyperlink>
      <w:r w:rsidR="009A5940" w:rsidRPr="009A5940">
        <w:t xml:space="preserve"> </w:t>
      </w:r>
      <w:r w:rsidRPr="009A5940">
        <w:rPr>
          <w:rFonts w:eastAsia="Calibri"/>
          <w:sz w:val="28"/>
          <w:szCs w:val="28"/>
        </w:rPr>
        <w:t>к предыдущему году</w:t>
      </w:r>
      <w:r w:rsidR="00E66CF0" w:rsidRPr="009A5940">
        <w:rPr>
          <w:rFonts w:eastAsia="Calibri"/>
          <w:sz w:val="28"/>
          <w:szCs w:val="28"/>
        </w:rPr>
        <w:t xml:space="preserve"> </w:t>
      </w:r>
      <w:r w:rsidR="00485517" w:rsidRPr="009A5940">
        <w:rPr>
          <w:rFonts w:eastAsia="Calibri"/>
          <w:sz w:val="28"/>
          <w:szCs w:val="28"/>
        </w:rPr>
        <w:t xml:space="preserve">составил </w:t>
      </w:r>
      <w:r w:rsidR="00CC5338">
        <w:rPr>
          <w:rFonts w:eastAsia="Calibri"/>
          <w:sz w:val="28"/>
          <w:szCs w:val="28"/>
        </w:rPr>
        <w:t xml:space="preserve">3,0 </w:t>
      </w:r>
      <w:r w:rsidR="00485517" w:rsidRPr="009A5940">
        <w:rPr>
          <w:rFonts w:eastAsia="Calibri"/>
          <w:sz w:val="28"/>
          <w:szCs w:val="28"/>
        </w:rPr>
        <w:t>%</w:t>
      </w:r>
      <w:r w:rsidR="00192076">
        <w:rPr>
          <w:rFonts w:eastAsia="Calibri"/>
          <w:sz w:val="28"/>
          <w:szCs w:val="28"/>
        </w:rPr>
        <w:t>.</w:t>
      </w:r>
      <w:r w:rsidR="00BD786A">
        <w:rPr>
          <w:rFonts w:eastAsia="Calibri"/>
          <w:sz w:val="28"/>
          <w:szCs w:val="28"/>
        </w:rPr>
        <w:t xml:space="preserve">  </w:t>
      </w:r>
    </w:p>
    <w:p w:rsidR="00AD21EC" w:rsidRPr="002C5923" w:rsidRDefault="00AD21EC" w:rsidP="00AD21E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C5923">
        <w:rPr>
          <w:sz w:val="28"/>
          <w:szCs w:val="28"/>
        </w:rPr>
        <w:t>Средства бюджета городского округа город Бор</w:t>
      </w:r>
      <w:r w:rsidR="00E66CF0" w:rsidRPr="002C5923">
        <w:rPr>
          <w:sz w:val="28"/>
          <w:szCs w:val="28"/>
        </w:rPr>
        <w:t xml:space="preserve"> </w:t>
      </w:r>
      <w:r w:rsidR="0020212B" w:rsidRPr="002C5923">
        <w:rPr>
          <w:sz w:val="28"/>
          <w:szCs w:val="28"/>
        </w:rPr>
        <w:t>на реализацию подпрограммы</w:t>
      </w:r>
      <w:r w:rsidR="00E66CF0" w:rsidRPr="002C5923">
        <w:rPr>
          <w:sz w:val="28"/>
          <w:szCs w:val="28"/>
        </w:rPr>
        <w:t xml:space="preserve"> </w:t>
      </w:r>
      <w:r w:rsidRPr="002C5923">
        <w:rPr>
          <w:bCs/>
          <w:sz w:val="28"/>
          <w:szCs w:val="28"/>
        </w:rPr>
        <w:t>«</w:t>
      </w:r>
      <w:r w:rsidRPr="002C5923">
        <w:rPr>
          <w:sz w:val="28"/>
          <w:szCs w:val="28"/>
        </w:rPr>
        <w:t>Повышение эффективности бюджетных расходов городского округа город Бор</w:t>
      </w:r>
      <w:r w:rsidRPr="002C5923">
        <w:rPr>
          <w:bCs/>
          <w:sz w:val="28"/>
          <w:szCs w:val="28"/>
        </w:rPr>
        <w:t>» не предусмотрены.</w:t>
      </w:r>
    </w:p>
    <w:p w:rsidR="0064385C" w:rsidRPr="005138A5" w:rsidRDefault="00902293" w:rsidP="00C0775E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5138A5">
        <w:rPr>
          <w:sz w:val="28"/>
          <w:szCs w:val="28"/>
        </w:rPr>
        <w:t>В рамках реализации Подпрограммы «Обеспечение и осуществление финансового контроля в городском округе город Бор»</w:t>
      </w:r>
      <w:r w:rsidR="00C0775E" w:rsidRPr="005138A5">
        <w:rPr>
          <w:sz w:val="28"/>
          <w:szCs w:val="28"/>
        </w:rPr>
        <w:t xml:space="preserve"> </w:t>
      </w:r>
      <w:r w:rsidR="00AF3EB7" w:rsidRPr="005138A5">
        <w:rPr>
          <w:sz w:val="28"/>
          <w:szCs w:val="28"/>
        </w:rPr>
        <w:t>сектором контроля Управления учета, отчетности и контроля исполнения бюджета (далее - сектор контроля)</w:t>
      </w:r>
      <w:r w:rsidR="0064385C" w:rsidRPr="005138A5">
        <w:rPr>
          <w:sz w:val="28"/>
          <w:szCs w:val="28"/>
        </w:rPr>
        <w:t xml:space="preserve"> </w:t>
      </w:r>
      <w:r w:rsidR="00AF3EB7" w:rsidRPr="005138A5">
        <w:rPr>
          <w:sz w:val="28"/>
          <w:szCs w:val="28"/>
        </w:rPr>
        <w:t>осуществлялась деятельность по внутреннему муниципальному финансовому контролю</w:t>
      </w:r>
      <w:r w:rsidR="000F2AE1" w:rsidRPr="005138A5">
        <w:rPr>
          <w:sz w:val="28"/>
          <w:szCs w:val="28"/>
        </w:rPr>
        <w:t xml:space="preserve"> и контролю</w:t>
      </w:r>
      <w:r w:rsidR="00AF3EB7" w:rsidRPr="005138A5">
        <w:rPr>
          <w:sz w:val="28"/>
          <w:szCs w:val="28"/>
        </w:rPr>
        <w:t xml:space="preserve"> </w:t>
      </w:r>
      <w:r w:rsidR="0064385C" w:rsidRPr="005138A5">
        <w:rPr>
          <w:sz w:val="28"/>
          <w:szCs w:val="28"/>
        </w:rPr>
        <w:t>в сфере закупок на основании плана контрольных мероприятий Департамента финансов администрации городского округа гор</w:t>
      </w:r>
      <w:r w:rsidR="000F2AE1" w:rsidRPr="005138A5">
        <w:rPr>
          <w:sz w:val="28"/>
          <w:szCs w:val="28"/>
        </w:rPr>
        <w:t>од Бор Нижегородской области на</w:t>
      </w:r>
      <w:r w:rsidR="0064385C" w:rsidRPr="005138A5">
        <w:rPr>
          <w:sz w:val="28"/>
          <w:szCs w:val="28"/>
        </w:rPr>
        <w:t xml:space="preserve"> 2021</w:t>
      </w:r>
      <w:r w:rsidR="00C0775E" w:rsidRPr="005138A5">
        <w:rPr>
          <w:sz w:val="28"/>
          <w:szCs w:val="28"/>
        </w:rPr>
        <w:t xml:space="preserve"> год</w:t>
      </w:r>
      <w:r w:rsidR="0064385C" w:rsidRPr="005138A5">
        <w:rPr>
          <w:sz w:val="28"/>
          <w:szCs w:val="28"/>
        </w:rPr>
        <w:t xml:space="preserve">, </w:t>
      </w:r>
      <w:r w:rsidR="005138A5" w:rsidRPr="005138A5">
        <w:rPr>
          <w:sz w:val="28"/>
          <w:szCs w:val="28"/>
        </w:rPr>
        <w:t>которым</w:t>
      </w:r>
      <w:r w:rsidR="0064385C" w:rsidRPr="005138A5">
        <w:rPr>
          <w:sz w:val="28"/>
          <w:szCs w:val="28"/>
        </w:rPr>
        <w:t xml:space="preserve"> запланировано проведе</w:t>
      </w:r>
      <w:r w:rsidR="005138A5" w:rsidRPr="005138A5">
        <w:rPr>
          <w:sz w:val="28"/>
          <w:szCs w:val="28"/>
        </w:rPr>
        <w:t>ние 10 контрольных мероприятий:</w:t>
      </w:r>
      <w:r w:rsidR="0064385C" w:rsidRPr="005138A5">
        <w:rPr>
          <w:sz w:val="28"/>
          <w:szCs w:val="28"/>
        </w:rPr>
        <w:t xml:space="preserve"> 1 ревизия </w:t>
      </w:r>
      <w:r w:rsidR="005138A5" w:rsidRPr="005138A5">
        <w:rPr>
          <w:sz w:val="28"/>
          <w:szCs w:val="28"/>
        </w:rPr>
        <w:t>и  9 проверок, из которых</w:t>
      </w:r>
      <w:r w:rsidR="0064385C" w:rsidRPr="005138A5">
        <w:rPr>
          <w:sz w:val="28"/>
          <w:szCs w:val="28"/>
        </w:rPr>
        <w:t xml:space="preserve"> 3 проверки в сфере </w:t>
      </w:r>
      <w:r w:rsidR="005138A5" w:rsidRPr="005138A5">
        <w:rPr>
          <w:sz w:val="28"/>
          <w:szCs w:val="28"/>
        </w:rPr>
        <w:t>закупок</w:t>
      </w:r>
      <w:r w:rsidR="0064385C" w:rsidRPr="005138A5">
        <w:rPr>
          <w:sz w:val="28"/>
          <w:szCs w:val="28"/>
        </w:rPr>
        <w:t xml:space="preserve"> товаров, работ, услуг.</w:t>
      </w:r>
    </w:p>
    <w:p w:rsidR="005138A5" w:rsidRPr="005138A5" w:rsidRDefault="005138A5" w:rsidP="005138A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138A5">
        <w:rPr>
          <w:rFonts w:ascii="Times New Roman" w:hAnsi="Times New Roman"/>
          <w:sz w:val="28"/>
          <w:szCs w:val="28"/>
        </w:rPr>
        <w:t>Своевременно на сайте Департамента финансов размещалась информация о результатах всех проведенных проверок, на официальном сайте единой информационной 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8A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8A5">
        <w:rPr>
          <w:rFonts w:ascii="Times New Roman" w:hAnsi="Times New Roman"/>
          <w:sz w:val="28"/>
          <w:szCs w:val="28"/>
        </w:rPr>
        <w:t>информационно-телекоммуникационной сети "Интернет" размещена в полном объеме информация о плановых проверках и о выданных предписаниях в сфере закупок муниципальным учреждениям городского округа город Бор.</w:t>
      </w:r>
    </w:p>
    <w:p w:rsidR="005138A5" w:rsidRPr="005138A5" w:rsidRDefault="005138A5" w:rsidP="005138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8A5">
        <w:rPr>
          <w:sz w:val="28"/>
          <w:szCs w:val="28"/>
        </w:rPr>
        <w:t>Все основные мероприятия, подлежащие реализации по подпрограмме,  реализованы Департаментом финансов в 2021 году в полном объеме, а именно:</w:t>
      </w:r>
    </w:p>
    <w:p w:rsidR="005138A5" w:rsidRPr="005138A5" w:rsidRDefault="005138A5" w:rsidP="005138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8A5">
        <w:rPr>
          <w:i/>
          <w:sz w:val="28"/>
          <w:szCs w:val="28"/>
        </w:rPr>
        <w:t>1) В части организации и осуществления полномочий по внутреннему муниципальному финансовому контролю, по контролю в сфере закупок товаров, работ, услуг и внутреннему финансовому аудиту:</w:t>
      </w:r>
    </w:p>
    <w:p w:rsidR="005138A5" w:rsidRPr="005138A5" w:rsidRDefault="005138A5" w:rsidP="005138A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138A5">
        <w:rPr>
          <w:rFonts w:ascii="Times New Roman" w:hAnsi="Times New Roman"/>
          <w:sz w:val="28"/>
          <w:szCs w:val="28"/>
        </w:rPr>
        <w:t xml:space="preserve"> - проведены 1 ревизия и 9 проверок, из которых 3 проверки в сфере закупок товаров, работ и услуг, по результатам которых направлено  объектам контроля 10 представлений для принятия мер  по устранению  выявленных нарушений и недостатков в ходе проверки Департамента имущества администрации городского округа г. Бор, по 9  представлениям срок их исполнения  - 2021 год.               </w:t>
      </w:r>
    </w:p>
    <w:p w:rsidR="005138A5" w:rsidRPr="005138A5" w:rsidRDefault="005138A5" w:rsidP="005138A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5138A5">
        <w:rPr>
          <w:rFonts w:ascii="Times New Roman" w:hAnsi="Times New Roman"/>
          <w:sz w:val="28"/>
          <w:szCs w:val="28"/>
        </w:rPr>
        <w:t>По состоянию на 01.01.2022:</w:t>
      </w:r>
    </w:p>
    <w:p w:rsidR="005138A5" w:rsidRPr="005138A5" w:rsidRDefault="005138A5" w:rsidP="005138A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138A5">
        <w:rPr>
          <w:rFonts w:ascii="Times New Roman" w:hAnsi="Times New Roman"/>
          <w:sz w:val="28"/>
          <w:szCs w:val="28"/>
        </w:rPr>
        <w:t>- отношение количества проведенных</w:t>
      </w:r>
      <w:r w:rsidR="00412FAB">
        <w:rPr>
          <w:rFonts w:ascii="Times New Roman" w:hAnsi="Times New Roman"/>
          <w:sz w:val="28"/>
          <w:szCs w:val="28"/>
        </w:rPr>
        <w:t xml:space="preserve"> в</w:t>
      </w:r>
      <w:r w:rsidRPr="005138A5">
        <w:rPr>
          <w:rFonts w:ascii="Times New Roman" w:hAnsi="Times New Roman"/>
          <w:sz w:val="28"/>
          <w:szCs w:val="28"/>
        </w:rPr>
        <w:t xml:space="preserve"> 2021 году</w:t>
      </w:r>
      <w:r>
        <w:rPr>
          <w:rFonts w:ascii="Times New Roman" w:hAnsi="Times New Roman"/>
          <w:sz w:val="28"/>
          <w:szCs w:val="28"/>
        </w:rPr>
        <w:t xml:space="preserve"> контрольных мероприятий</w:t>
      </w:r>
      <w:r w:rsidRPr="005138A5">
        <w:rPr>
          <w:rFonts w:ascii="Times New Roman" w:hAnsi="Times New Roman"/>
          <w:sz w:val="28"/>
          <w:szCs w:val="28"/>
        </w:rPr>
        <w:t xml:space="preserve"> к количеству контрольных мероприятий, предусмотренных планом контрольных мероприятий на 2021 год </w:t>
      </w:r>
      <w:r w:rsidR="00412FAB">
        <w:rPr>
          <w:rFonts w:ascii="Times New Roman" w:hAnsi="Times New Roman"/>
          <w:sz w:val="28"/>
          <w:szCs w:val="28"/>
        </w:rPr>
        <w:t>составляет 100%,</w:t>
      </w:r>
      <w:r w:rsidRPr="005138A5">
        <w:rPr>
          <w:rFonts w:ascii="Times New Roman" w:hAnsi="Times New Roman"/>
          <w:sz w:val="28"/>
          <w:szCs w:val="28"/>
        </w:rPr>
        <w:t xml:space="preserve"> что соответствует индикатору достижения цели и показателю непосредственных </w:t>
      </w:r>
      <w:r w:rsidRPr="005138A5">
        <w:rPr>
          <w:rFonts w:ascii="Times New Roman" w:hAnsi="Times New Roman"/>
          <w:sz w:val="28"/>
          <w:szCs w:val="28"/>
        </w:rPr>
        <w:lastRenderedPageBreak/>
        <w:t>результатов подпрограммы - плановые контрольны</w:t>
      </w:r>
      <w:r w:rsidR="00412FAB">
        <w:rPr>
          <w:rFonts w:ascii="Times New Roman" w:hAnsi="Times New Roman"/>
          <w:sz w:val="28"/>
          <w:szCs w:val="28"/>
        </w:rPr>
        <w:t>е</w:t>
      </w:r>
      <w:r w:rsidRPr="005138A5">
        <w:rPr>
          <w:rFonts w:ascii="Times New Roman" w:hAnsi="Times New Roman"/>
          <w:sz w:val="28"/>
          <w:szCs w:val="28"/>
        </w:rPr>
        <w:t xml:space="preserve"> мероприятия в 2021 году выполнены в полном объеме;</w:t>
      </w:r>
    </w:p>
    <w:p w:rsidR="005138A5" w:rsidRPr="005138A5" w:rsidRDefault="005138A5" w:rsidP="005138A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138A5">
        <w:rPr>
          <w:rFonts w:ascii="Times New Roman" w:hAnsi="Times New Roman"/>
          <w:sz w:val="28"/>
          <w:szCs w:val="28"/>
        </w:rPr>
        <w:t xml:space="preserve">- отношение количества исполненных представлений, вынесенных по результатам проведенных контрольных мероприятий, к общему количеству представлений, </w:t>
      </w:r>
      <w:r w:rsidR="00412FAB">
        <w:rPr>
          <w:rFonts w:ascii="Times New Roman" w:hAnsi="Times New Roman"/>
          <w:sz w:val="28"/>
          <w:szCs w:val="28"/>
        </w:rPr>
        <w:t>вынесенных</w:t>
      </w:r>
      <w:r w:rsidRPr="005138A5">
        <w:rPr>
          <w:rFonts w:ascii="Times New Roman" w:hAnsi="Times New Roman"/>
          <w:sz w:val="28"/>
          <w:szCs w:val="28"/>
        </w:rPr>
        <w:t xml:space="preserve"> по результатам проведенных контрольных мероприятий в 2021 году с наступившим сроком их исполнения составляет 100%, что соответствует индикатору достижения цели.</w:t>
      </w:r>
    </w:p>
    <w:p w:rsidR="005138A5" w:rsidRPr="005138A5" w:rsidRDefault="005138A5" w:rsidP="005138A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138A5">
        <w:rPr>
          <w:i/>
          <w:sz w:val="28"/>
          <w:szCs w:val="28"/>
        </w:rPr>
        <w:t>2) В части  повышения эффективности ведомственного контроля, в том числе контроля в сфере закупок товаров, работ, услуг:</w:t>
      </w:r>
    </w:p>
    <w:p w:rsidR="005138A5" w:rsidRPr="005138A5" w:rsidRDefault="005138A5" w:rsidP="005138A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138A5">
        <w:rPr>
          <w:rFonts w:ascii="Times New Roman" w:hAnsi="Times New Roman"/>
          <w:sz w:val="28"/>
          <w:szCs w:val="28"/>
        </w:rPr>
        <w:t>- Согласно приказа Департамента финансов от 15.03.2018  № 14Н "</w:t>
      </w:r>
      <w:r w:rsidR="00412FAB">
        <w:rPr>
          <w:rFonts w:ascii="Times New Roman" w:hAnsi="Times New Roman"/>
          <w:spacing w:val="-5"/>
          <w:sz w:val="28"/>
          <w:szCs w:val="28"/>
        </w:rPr>
        <w:t>Об утверждении</w:t>
      </w:r>
      <w:r w:rsidRPr="005138A5">
        <w:rPr>
          <w:rFonts w:ascii="Times New Roman" w:hAnsi="Times New Roman"/>
          <w:spacing w:val="-5"/>
          <w:sz w:val="28"/>
          <w:szCs w:val="28"/>
        </w:rPr>
        <w:t xml:space="preserve"> Порядка </w:t>
      </w:r>
      <w:r w:rsidRPr="005138A5">
        <w:rPr>
          <w:rFonts w:ascii="Times New Roman" w:hAnsi="Times New Roman"/>
          <w:sz w:val="28"/>
          <w:szCs w:val="28"/>
        </w:rPr>
        <w:t xml:space="preserve">проведения анализа деятельности органов, осуществляющих функции и полномочия учредителя муниципальных учреждений городского округа г. Бор, по осуществлению контроля за деятельностью муниципальных автономных, бюджетных и казенных учреждений  городского округа г. Бор (контроль учредителя)" в феврале               2021 года проведен анализ деятельности органов, осуществляющих функции и полномочия учредителя муниципальных автономных, бюджетных и казенных учреждений городского округа г. Бор за 2020 год. Сводное заключение по результатам анализа деятельности органов, осуществляющих функции и полномочия учредителя муниципальных автономных, бюджетных и казенных учреждений городского округа г. Бор за 2020 год размещено на сайте </w:t>
      </w:r>
      <w:r w:rsidRPr="005138A5">
        <w:rPr>
          <w:rFonts w:ascii="Times New Roman" w:hAnsi="Times New Roman"/>
          <w:bCs/>
          <w:spacing w:val="-5"/>
          <w:sz w:val="28"/>
          <w:szCs w:val="28"/>
        </w:rPr>
        <w:t>Департамента финансов в сроки, установленные Порядком. Проведенным анализом</w:t>
      </w:r>
      <w:r w:rsidRPr="005138A5">
        <w:rPr>
          <w:rFonts w:ascii="Times New Roman" w:hAnsi="Times New Roman"/>
          <w:sz w:val="28"/>
          <w:szCs w:val="28"/>
        </w:rPr>
        <w:t xml:space="preserve"> деятельности органов, осуществляющих функции  и полномочия учредителя муниципальных учреждений городского округа г. Бор,                       по осуществлению контроля за деятельностью муниципальных автономных,  бюджетных и казенных учреждений городского округа г. Бор (контроль учредителя) охвачено</w:t>
      </w:r>
      <w:r w:rsidR="00412FAB">
        <w:rPr>
          <w:rFonts w:ascii="Times New Roman" w:hAnsi="Times New Roman"/>
          <w:sz w:val="28"/>
          <w:szCs w:val="28"/>
        </w:rPr>
        <w:t xml:space="preserve"> </w:t>
      </w:r>
      <w:r w:rsidRPr="005138A5">
        <w:rPr>
          <w:rFonts w:ascii="Times New Roman" w:hAnsi="Times New Roman"/>
          <w:sz w:val="28"/>
          <w:szCs w:val="28"/>
        </w:rPr>
        <w:t xml:space="preserve">15 учредителей, имеющих подведомственные муниципальные учреждения. Охват органов, осуществляющих функции и полномочия учредителя муниципальных учреждений городского округа </w:t>
      </w:r>
      <w:r w:rsidR="00412FAB">
        <w:rPr>
          <w:rFonts w:ascii="Times New Roman" w:hAnsi="Times New Roman"/>
          <w:sz w:val="28"/>
          <w:szCs w:val="28"/>
        </w:rPr>
        <w:t xml:space="preserve">         </w:t>
      </w:r>
      <w:r w:rsidRPr="005138A5">
        <w:rPr>
          <w:rFonts w:ascii="Times New Roman" w:hAnsi="Times New Roman"/>
          <w:sz w:val="28"/>
          <w:szCs w:val="28"/>
        </w:rPr>
        <w:t>г. Бор, в отношении которых  проведен анализ по осуществлению ими контроля за деятельностью подведомственных им учреждений составляет 88%;</w:t>
      </w:r>
    </w:p>
    <w:p w:rsidR="005138A5" w:rsidRPr="005138A5" w:rsidRDefault="005138A5" w:rsidP="005138A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138A5">
        <w:rPr>
          <w:rFonts w:ascii="Times New Roman" w:hAnsi="Times New Roman"/>
          <w:sz w:val="28"/>
          <w:szCs w:val="28"/>
        </w:rPr>
        <w:t>-  Согласно приказа Департамента финансов от  15.03.2018 № 12Н "</w:t>
      </w:r>
      <w:r w:rsidRPr="005138A5">
        <w:rPr>
          <w:rFonts w:ascii="Times New Roman" w:hAnsi="Times New Roman"/>
          <w:spacing w:val="-5"/>
          <w:sz w:val="28"/>
          <w:szCs w:val="28"/>
        </w:rPr>
        <w:t xml:space="preserve">Об утверждении  Порядка </w:t>
      </w:r>
      <w:r w:rsidRPr="005138A5">
        <w:rPr>
          <w:rFonts w:ascii="Times New Roman" w:hAnsi="Times New Roman"/>
          <w:sz w:val="28"/>
          <w:szCs w:val="28"/>
        </w:rPr>
        <w:t>проведения анализа деятельности функциональных отраслевых, территориальных структурных подразделений администрации городского округа г. Бор по осуществлению ведомственного контроля  в сфере закупок" в феврале 2021 года проведен анализ осуществления ведомственного контроля в сфе</w:t>
      </w:r>
      <w:r w:rsidR="00412FAB">
        <w:rPr>
          <w:rFonts w:ascii="Times New Roman" w:hAnsi="Times New Roman"/>
          <w:sz w:val="28"/>
          <w:szCs w:val="28"/>
        </w:rPr>
        <w:t xml:space="preserve">ре закупок </w:t>
      </w:r>
      <w:r w:rsidRPr="005138A5">
        <w:rPr>
          <w:rFonts w:ascii="Times New Roman" w:hAnsi="Times New Roman"/>
          <w:sz w:val="28"/>
          <w:szCs w:val="28"/>
        </w:rPr>
        <w:t xml:space="preserve">за 2020 год                                       по 15 самостоятельным  функциональным отраслевым, территориальным структурным подразделениям администрации городского округа г. Бор (органам ведомственного контроля). Анализ осуществления ведомственного контроля в сфере закупок  за 2020 год размещен на сайте </w:t>
      </w:r>
      <w:r w:rsidRPr="005138A5">
        <w:rPr>
          <w:rFonts w:ascii="Times New Roman" w:hAnsi="Times New Roman"/>
          <w:bCs/>
          <w:spacing w:val="-5"/>
          <w:sz w:val="28"/>
          <w:szCs w:val="28"/>
        </w:rPr>
        <w:t xml:space="preserve">Департамента финансов в сроки, установленные Порядком. </w:t>
      </w:r>
      <w:r w:rsidRPr="005138A5">
        <w:rPr>
          <w:rFonts w:ascii="Times New Roman" w:hAnsi="Times New Roman"/>
          <w:sz w:val="28"/>
          <w:szCs w:val="28"/>
        </w:rPr>
        <w:t xml:space="preserve">Охват о функциональных отраслевых, территориальных структурных подразделений администрации городского округа г. Бор, в отношении которых проведен анализ по осуществлению ими ведомственного контроля  в сфере закупок  составляет </w:t>
      </w:r>
      <w:r w:rsidRPr="005138A5">
        <w:rPr>
          <w:rFonts w:ascii="Times New Roman" w:hAnsi="Times New Roman"/>
          <w:sz w:val="28"/>
          <w:szCs w:val="28"/>
        </w:rPr>
        <w:lastRenderedPageBreak/>
        <w:t>94% от общего числа функциональных отраслевых, территориальных структурных подразделений администрации городского округа г. Бор, имеющих подведомственные муниципальные казенные и бюджетные учреждения (далее - подведомственные учреждения), осуществивших закупки в соответствии с Федеральным законом  от 05.04.2013 № 44-ФЗ "О контрактной системе в сфере закупок товаров, работ, услуг для обеспечения государственных и муниципальных нужд".</w:t>
      </w:r>
      <w:r w:rsidR="00412FAB">
        <w:rPr>
          <w:rFonts w:ascii="Times New Roman" w:hAnsi="Times New Roman"/>
          <w:sz w:val="28"/>
          <w:szCs w:val="28"/>
        </w:rPr>
        <w:t xml:space="preserve"> </w:t>
      </w:r>
      <w:r w:rsidRPr="005138A5">
        <w:rPr>
          <w:rFonts w:ascii="Times New Roman" w:hAnsi="Times New Roman"/>
          <w:sz w:val="28"/>
          <w:szCs w:val="28"/>
        </w:rPr>
        <w:t>Непосредственный результат данного основного мероприятия выполнен.</w:t>
      </w:r>
    </w:p>
    <w:p w:rsidR="00030398" w:rsidRDefault="00030398" w:rsidP="0031154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F2236">
        <w:rPr>
          <w:sz w:val="28"/>
          <w:szCs w:val="28"/>
        </w:rPr>
        <w:t>Средства бюджета городского округа город Бор</w:t>
      </w:r>
      <w:r w:rsidR="00B33405" w:rsidRPr="001F2236">
        <w:rPr>
          <w:sz w:val="28"/>
          <w:szCs w:val="28"/>
        </w:rPr>
        <w:t xml:space="preserve"> </w:t>
      </w:r>
      <w:r w:rsidR="003A5F12" w:rsidRPr="001F2236">
        <w:rPr>
          <w:sz w:val="28"/>
          <w:szCs w:val="28"/>
        </w:rPr>
        <w:t>на реализацию</w:t>
      </w:r>
      <w:r w:rsidRPr="001F2236">
        <w:rPr>
          <w:sz w:val="28"/>
          <w:szCs w:val="28"/>
        </w:rPr>
        <w:t xml:space="preserve"> подпрограммы </w:t>
      </w:r>
      <w:r w:rsidRPr="001F2236">
        <w:rPr>
          <w:bCs/>
          <w:sz w:val="28"/>
          <w:szCs w:val="28"/>
        </w:rPr>
        <w:t>«Обеспечение и осуществление финансового контроля в городском округе город Бор» не предусмотрены.</w:t>
      </w:r>
    </w:p>
    <w:p w:rsidR="00D75DB5" w:rsidRPr="00C27715" w:rsidRDefault="00A61EE8" w:rsidP="00022DFE">
      <w:pPr>
        <w:ind w:firstLine="709"/>
        <w:jc w:val="both"/>
        <w:rPr>
          <w:sz w:val="28"/>
          <w:szCs w:val="28"/>
        </w:rPr>
      </w:pPr>
      <w:r w:rsidRPr="00C27715">
        <w:rPr>
          <w:sz w:val="28"/>
          <w:szCs w:val="28"/>
        </w:rPr>
        <w:t xml:space="preserve">В рамках реализации подпрограммы «Управление муниципальным долгом городского округа город Бор» бюджетные ассигнования запланированы в </w:t>
      </w:r>
      <w:r w:rsidRPr="00AD1284">
        <w:rPr>
          <w:sz w:val="28"/>
          <w:szCs w:val="28"/>
        </w:rPr>
        <w:t xml:space="preserve">сумме </w:t>
      </w:r>
      <w:r w:rsidR="00AD1284" w:rsidRPr="00AD1284">
        <w:rPr>
          <w:bCs/>
          <w:sz w:val="28"/>
          <w:szCs w:val="28"/>
        </w:rPr>
        <w:t>8 316,4</w:t>
      </w:r>
      <w:r w:rsidR="00DB749F" w:rsidRPr="00AD1284">
        <w:rPr>
          <w:sz w:val="28"/>
          <w:szCs w:val="28"/>
        </w:rPr>
        <w:t xml:space="preserve"> тыс. рублей</w:t>
      </w:r>
      <w:r w:rsidRPr="00AD1284">
        <w:rPr>
          <w:sz w:val="28"/>
          <w:szCs w:val="28"/>
        </w:rPr>
        <w:t>, исполнение составило</w:t>
      </w:r>
      <w:r w:rsidR="00C27715" w:rsidRPr="00AD1284">
        <w:rPr>
          <w:sz w:val="28"/>
          <w:szCs w:val="28"/>
        </w:rPr>
        <w:t xml:space="preserve"> </w:t>
      </w:r>
      <w:r w:rsidRPr="00AD1284">
        <w:rPr>
          <w:sz w:val="28"/>
          <w:szCs w:val="28"/>
        </w:rPr>
        <w:t xml:space="preserve">100 % от плана. </w:t>
      </w:r>
      <w:r w:rsidR="00D75DB5" w:rsidRPr="00AD1284">
        <w:rPr>
          <w:sz w:val="28"/>
          <w:szCs w:val="28"/>
        </w:rPr>
        <w:t>Все основные мероприятия</w:t>
      </w:r>
      <w:r w:rsidR="00D75DB5" w:rsidRPr="00C27715">
        <w:rPr>
          <w:sz w:val="28"/>
          <w:szCs w:val="28"/>
        </w:rPr>
        <w:t>, подлежащие реализаци</w:t>
      </w:r>
      <w:r w:rsidR="00AD1284">
        <w:rPr>
          <w:sz w:val="28"/>
          <w:szCs w:val="28"/>
        </w:rPr>
        <w:t>и в 2021</w:t>
      </w:r>
      <w:r w:rsidR="00D75DB5" w:rsidRPr="00C27715">
        <w:rPr>
          <w:sz w:val="28"/>
          <w:szCs w:val="28"/>
        </w:rPr>
        <w:t xml:space="preserve"> году, выполнены в полном объеме.</w:t>
      </w:r>
    </w:p>
    <w:p w:rsidR="00A61EE8" w:rsidRPr="008E53B8" w:rsidRDefault="00A61EE8" w:rsidP="003115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3B8">
        <w:rPr>
          <w:color w:val="000000"/>
          <w:sz w:val="28"/>
          <w:szCs w:val="28"/>
        </w:rPr>
        <w:t>Предельный объем нагрузки на местный бюджет по объему погашения долговых обязательств находится на безопасном уровне.</w:t>
      </w:r>
    </w:p>
    <w:p w:rsidR="009E52B4" w:rsidRDefault="009E52B4" w:rsidP="008A5DFF">
      <w:pPr>
        <w:ind w:firstLine="709"/>
        <w:jc w:val="both"/>
        <w:rPr>
          <w:sz w:val="28"/>
          <w:szCs w:val="28"/>
          <w:shd w:val="clear" w:color="auto" w:fill="FFFFFF"/>
        </w:rPr>
      </w:pPr>
      <w:r w:rsidRPr="008E53B8">
        <w:rPr>
          <w:sz w:val="28"/>
          <w:szCs w:val="28"/>
          <w:shd w:val="clear" w:color="auto" w:fill="FFFFFF"/>
        </w:rPr>
        <w:t>Доля расходов на обслуживание муниципального долга</w:t>
      </w:r>
      <w:r w:rsidRPr="00F33401">
        <w:rPr>
          <w:sz w:val="28"/>
          <w:szCs w:val="28"/>
          <w:shd w:val="clear" w:color="auto" w:fill="FFFFFF"/>
        </w:rPr>
        <w:t xml:space="preserve"> в общем объеме расходов местного бюджета за исключением объема расходов, которые осуществляются за счет субвенций, предоставляемых из бюджетов бюджетной системы Российской Федерации, </w:t>
      </w:r>
      <w:r w:rsidRPr="000B68D7">
        <w:rPr>
          <w:sz w:val="28"/>
          <w:szCs w:val="28"/>
          <w:shd w:val="clear" w:color="auto" w:fill="FFFFFF"/>
        </w:rPr>
        <w:t xml:space="preserve">составляет </w:t>
      </w:r>
      <w:r w:rsidR="000B68D7" w:rsidRPr="000B68D7">
        <w:rPr>
          <w:sz w:val="28"/>
          <w:szCs w:val="28"/>
        </w:rPr>
        <w:t>0,2</w:t>
      </w:r>
      <w:r w:rsidRPr="000B68D7">
        <w:rPr>
          <w:sz w:val="28"/>
          <w:szCs w:val="28"/>
          <w:shd w:val="clear" w:color="auto" w:fill="FFFFFF"/>
        </w:rPr>
        <w:t xml:space="preserve"> % и не превышает</w:t>
      </w:r>
      <w:r w:rsidR="000B210F" w:rsidRPr="00926D26">
        <w:rPr>
          <w:sz w:val="28"/>
          <w:szCs w:val="28"/>
          <w:shd w:val="clear" w:color="auto" w:fill="FFFFFF"/>
        </w:rPr>
        <w:t xml:space="preserve"> запланированных</w:t>
      </w:r>
      <w:r w:rsidRPr="00926D26">
        <w:rPr>
          <w:sz w:val="28"/>
          <w:szCs w:val="28"/>
          <w:shd w:val="clear" w:color="auto" w:fill="FFFFFF"/>
        </w:rPr>
        <w:t xml:space="preserve"> 15%. </w:t>
      </w:r>
      <w:r w:rsidRPr="00926D26">
        <w:rPr>
          <w:sz w:val="28"/>
          <w:szCs w:val="28"/>
        </w:rPr>
        <w:t xml:space="preserve">Данный процент исполнения </w:t>
      </w:r>
      <w:r w:rsidRPr="00926D26">
        <w:rPr>
          <w:sz w:val="28"/>
          <w:szCs w:val="28"/>
          <w:shd w:val="clear" w:color="auto" w:fill="FFFFFF"/>
        </w:rPr>
        <w:t>является подтверждением эффективности муниципальных заимствований городского округа город Бор и взаимосвязи принятия решения о заимствованиях с реальными потребностями местного бюджета в привлечении заемных средств.</w:t>
      </w:r>
    </w:p>
    <w:p w:rsidR="00920952" w:rsidRPr="006B5AC5" w:rsidRDefault="00920952" w:rsidP="0092095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20952">
        <w:rPr>
          <w:sz w:val="28"/>
          <w:szCs w:val="28"/>
        </w:rPr>
        <w:t xml:space="preserve">Удельный вес муниципального долга по отношению к доходам местного бюджета без учета объема безвозмездных поступлений и поступлений налоговых доходов по дополнительным нормативам отчислений составил 16,1 % при </w:t>
      </w:r>
      <w:r w:rsidRPr="00920952">
        <w:rPr>
          <w:color w:val="000000"/>
          <w:sz w:val="28"/>
          <w:szCs w:val="28"/>
        </w:rPr>
        <w:t xml:space="preserve">плановых назначениях индикатора не более </w:t>
      </w:r>
      <w:r w:rsidRPr="00920952">
        <w:rPr>
          <w:color w:val="000000"/>
          <w:sz w:val="28"/>
          <w:szCs w:val="28"/>
          <w:shd w:val="clear" w:color="auto" w:fill="FFFFFF"/>
        </w:rPr>
        <w:t>40%.</w:t>
      </w:r>
    </w:p>
    <w:p w:rsidR="00F30686" w:rsidRPr="00F01897" w:rsidRDefault="003F16E4" w:rsidP="00EB0F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01897">
        <w:rPr>
          <w:rFonts w:ascii="Times New Roman" w:hAnsi="Times New Roman"/>
          <w:sz w:val="28"/>
          <w:szCs w:val="28"/>
        </w:rPr>
        <w:t>В рамках реализации Подпрограммы</w:t>
      </w:r>
      <w:r w:rsidR="007E123C" w:rsidRPr="00F01897">
        <w:rPr>
          <w:rFonts w:ascii="Times New Roman" w:hAnsi="Times New Roman"/>
          <w:sz w:val="28"/>
          <w:szCs w:val="28"/>
        </w:rPr>
        <w:t xml:space="preserve"> </w:t>
      </w:r>
      <w:r w:rsidR="00FF35DF" w:rsidRPr="00F01897">
        <w:rPr>
          <w:rFonts w:ascii="Times New Roman" w:hAnsi="Times New Roman"/>
          <w:sz w:val="28"/>
          <w:szCs w:val="28"/>
        </w:rPr>
        <w:t>«Обеспечение реализации муниципальной программы»</w:t>
      </w:r>
      <w:r w:rsidR="00C43DB4" w:rsidRPr="00F01897">
        <w:rPr>
          <w:rFonts w:ascii="Times New Roman" w:hAnsi="Times New Roman"/>
          <w:sz w:val="28"/>
          <w:szCs w:val="28"/>
        </w:rPr>
        <w:t xml:space="preserve"> осуществля</w:t>
      </w:r>
      <w:r w:rsidR="00A334E0" w:rsidRPr="00F01897">
        <w:rPr>
          <w:rFonts w:ascii="Times New Roman" w:hAnsi="Times New Roman"/>
          <w:sz w:val="28"/>
          <w:szCs w:val="28"/>
        </w:rPr>
        <w:t>лось</w:t>
      </w:r>
      <w:r w:rsidR="00C43DB4" w:rsidRPr="00F01897">
        <w:rPr>
          <w:rFonts w:ascii="Times New Roman" w:hAnsi="Times New Roman"/>
          <w:sz w:val="28"/>
          <w:szCs w:val="28"/>
        </w:rPr>
        <w:t xml:space="preserve"> обеспечение деятельности Департамента финансов администрации городского округа г. Бор и</w:t>
      </w:r>
      <w:r w:rsidR="00A334E0" w:rsidRPr="00F01897">
        <w:rPr>
          <w:rFonts w:ascii="Times New Roman" w:hAnsi="Times New Roman"/>
          <w:sz w:val="28"/>
          <w:szCs w:val="28"/>
        </w:rPr>
        <w:t xml:space="preserve"> деятельности</w:t>
      </w:r>
      <w:r w:rsidR="00C43DB4" w:rsidRPr="00F01897">
        <w:rPr>
          <w:rFonts w:ascii="Times New Roman" w:hAnsi="Times New Roman"/>
          <w:sz w:val="28"/>
          <w:szCs w:val="28"/>
        </w:rPr>
        <w:t xml:space="preserve"> подведомственного</w:t>
      </w:r>
      <w:r w:rsidR="00A334E0" w:rsidRPr="00F01897">
        <w:rPr>
          <w:rFonts w:ascii="Times New Roman" w:hAnsi="Times New Roman"/>
          <w:sz w:val="28"/>
          <w:szCs w:val="28"/>
        </w:rPr>
        <w:t xml:space="preserve"> ему</w:t>
      </w:r>
      <w:r w:rsidR="00C43DB4" w:rsidRPr="00F01897">
        <w:rPr>
          <w:rFonts w:ascii="Times New Roman" w:hAnsi="Times New Roman"/>
          <w:sz w:val="28"/>
          <w:szCs w:val="28"/>
        </w:rPr>
        <w:t xml:space="preserve"> учреждения</w:t>
      </w:r>
      <w:r w:rsidR="00FB6FDC" w:rsidRPr="00F01897">
        <w:rPr>
          <w:rFonts w:ascii="Times New Roman" w:hAnsi="Times New Roman"/>
          <w:bCs/>
          <w:sz w:val="28"/>
          <w:szCs w:val="28"/>
        </w:rPr>
        <w:t xml:space="preserve"> МКУ «Центр бухгалтерского учета»</w:t>
      </w:r>
      <w:r w:rsidR="00C43DB4" w:rsidRPr="00F01897">
        <w:rPr>
          <w:rFonts w:ascii="Times New Roman" w:hAnsi="Times New Roman"/>
          <w:sz w:val="28"/>
          <w:szCs w:val="28"/>
        </w:rPr>
        <w:t xml:space="preserve">. </w:t>
      </w:r>
    </w:p>
    <w:p w:rsidR="00DE1874" w:rsidRPr="00E01A73" w:rsidRDefault="00A334E0" w:rsidP="0031154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1A73">
        <w:rPr>
          <w:rFonts w:ascii="Times New Roman" w:hAnsi="Times New Roman"/>
          <w:bCs/>
          <w:sz w:val="28"/>
          <w:szCs w:val="28"/>
        </w:rPr>
        <w:t xml:space="preserve">В соответствии с положением о Департаменте финансов администрации городского округа город Бор Нижегородской области, утвержденным </w:t>
      </w:r>
      <w:r w:rsidRPr="00E01A73">
        <w:rPr>
          <w:rFonts w:ascii="Times New Roman" w:hAnsi="Times New Roman"/>
          <w:sz w:val="28"/>
          <w:szCs w:val="28"/>
        </w:rPr>
        <w:t>решением Совета депутатов городского округа город Бор Нижегородской области от 10.12.2010г. № 87 входит в структуру органов местного самоуправления городского округа город Бор и является функциональным органом администрации городского округа город Бор, обеспечивающим проведение единой финансовой и бюджетной политики, осуществляющим муниципальный финансовый контроль на территории городского округа город Бор Нижегородской области.</w:t>
      </w:r>
    </w:p>
    <w:p w:rsidR="00A334E0" w:rsidRPr="00E01A73" w:rsidRDefault="00A334E0" w:rsidP="00DE187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1A73">
        <w:rPr>
          <w:rFonts w:ascii="Times New Roman" w:hAnsi="Times New Roman"/>
          <w:sz w:val="28"/>
          <w:szCs w:val="28"/>
        </w:rPr>
        <w:lastRenderedPageBreak/>
        <w:t>Основными задачами Департамента являются:</w:t>
      </w:r>
    </w:p>
    <w:p w:rsidR="00A334E0" w:rsidRPr="00E01A73" w:rsidRDefault="00A334E0" w:rsidP="004F55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01A73">
        <w:rPr>
          <w:sz w:val="28"/>
          <w:szCs w:val="28"/>
        </w:rPr>
        <w:t>- разработка и реализация единой налоговой, финансовой и бюджетной политики на территории городского округа;</w:t>
      </w:r>
    </w:p>
    <w:p w:rsidR="00A334E0" w:rsidRPr="00E01A73" w:rsidRDefault="00A334E0" w:rsidP="004F55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01A73">
        <w:rPr>
          <w:sz w:val="28"/>
          <w:szCs w:val="28"/>
        </w:rPr>
        <w:t>- установление общих принципов организации и функционирования бюджетной системы городского округа и основ бюджетного процесса.</w:t>
      </w:r>
    </w:p>
    <w:p w:rsidR="00A334E0" w:rsidRPr="00E01A73" w:rsidRDefault="00A334E0" w:rsidP="004F55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01A73">
        <w:rPr>
          <w:sz w:val="28"/>
          <w:szCs w:val="28"/>
        </w:rPr>
        <w:t>- разработка проекта бюджета городского округа и обеспечение его исполнения в установленном порядке;</w:t>
      </w:r>
    </w:p>
    <w:p w:rsidR="00A334E0" w:rsidRPr="00E01A73" w:rsidRDefault="00A334E0" w:rsidP="004F55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01A73">
        <w:rPr>
          <w:sz w:val="28"/>
          <w:szCs w:val="28"/>
        </w:rPr>
        <w:t>- разработка предложений по увеличению доходных поступлений в бюджет и их более эффективного использования;</w:t>
      </w:r>
    </w:p>
    <w:p w:rsidR="00A334E0" w:rsidRPr="00E01A73" w:rsidRDefault="00A334E0" w:rsidP="004F55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01A73">
        <w:rPr>
          <w:sz w:val="28"/>
          <w:szCs w:val="28"/>
        </w:rPr>
        <w:t>- концентрация финансовых ресурсов на приоритетных направлениях развития городского округа в рамках исполнения бюджета;</w:t>
      </w:r>
    </w:p>
    <w:p w:rsidR="00A334E0" w:rsidRPr="00E01A73" w:rsidRDefault="00A334E0" w:rsidP="004F55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01A73">
        <w:rPr>
          <w:sz w:val="28"/>
          <w:szCs w:val="28"/>
        </w:rPr>
        <w:t>- осуществление муниципального финансового контроля в соответствии с действующим законодательством, нормативными правовыми актами Нижегородской области и городского округа;</w:t>
      </w:r>
    </w:p>
    <w:p w:rsidR="00A334E0" w:rsidRPr="00E01A73" w:rsidRDefault="00A334E0" w:rsidP="004F55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01A73">
        <w:rPr>
          <w:sz w:val="28"/>
          <w:szCs w:val="28"/>
        </w:rPr>
        <w:t>- обеспечение единого методологического подхода к ведению финансового, бюджетного учета и отчетности в городском округе.</w:t>
      </w:r>
    </w:p>
    <w:p w:rsidR="00752BC6" w:rsidRPr="00613B6A" w:rsidRDefault="00A334E0" w:rsidP="0006393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40E02">
        <w:rPr>
          <w:rFonts w:ascii="Times New Roman" w:hAnsi="Times New Roman"/>
          <w:color w:val="548DD4"/>
          <w:sz w:val="28"/>
          <w:szCs w:val="28"/>
        </w:rPr>
        <w:t> </w:t>
      </w:r>
      <w:r w:rsidR="00752BC6" w:rsidRPr="00A40E02">
        <w:rPr>
          <w:rFonts w:ascii="Times New Roman" w:hAnsi="Times New Roman"/>
          <w:sz w:val="28"/>
          <w:szCs w:val="28"/>
        </w:rPr>
        <w:t> В рамках решения поставленных задач департаментом финансов</w:t>
      </w:r>
      <w:r w:rsidR="00F77F98">
        <w:rPr>
          <w:rFonts w:ascii="Times New Roman" w:hAnsi="Times New Roman"/>
          <w:sz w:val="28"/>
          <w:szCs w:val="28"/>
        </w:rPr>
        <w:t xml:space="preserve"> подготовлен</w:t>
      </w:r>
      <w:r w:rsidR="00014B57">
        <w:rPr>
          <w:rFonts w:ascii="Times New Roman" w:hAnsi="Times New Roman"/>
          <w:sz w:val="28"/>
          <w:szCs w:val="28"/>
        </w:rPr>
        <w:t>ы:</w:t>
      </w:r>
      <w:r w:rsidR="00F77F98">
        <w:rPr>
          <w:rFonts w:ascii="Times New Roman" w:hAnsi="Times New Roman"/>
          <w:sz w:val="28"/>
          <w:szCs w:val="28"/>
        </w:rPr>
        <w:t xml:space="preserve"> проект</w:t>
      </w:r>
      <w:r w:rsidR="00752BC6" w:rsidRPr="00A40E02">
        <w:rPr>
          <w:rFonts w:ascii="Times New Roman" w:hAnsi="Times New Roman"/>
          <w:sz w:val="28"/>
          <w:szCs w:val="28"/>
        </w:rPr>
        <w:t xml:space="preserve"> </w:t>
      </w:r>
      <w:r w:rsidR="004569E6">
        <w:rPr>
          <w:rFonts w:ascii="Times New Roman" w:hAnsi="Times New Roman"/>
          <w:sz w:val="28"/>
          <w:szCs w:val="28"/>
        </w:rPr>
        <w:t>решения</w:t>
      </w:r>
      <w:r w:rsidR="00F77F98" w:rsidRPr="003A23B5">
        <w:rPr>
          <w:rFonts w:ascii="Times New Roman" w:hAnsi="Times New Roman"/>
          <w:sz w:val="28"/>
          <w:szCs w:val="28"/>
        </w:rPr>
        <w:t xml:space="preserve"> Совета депутатов администрации городского округа г. Бор</w:t>
      </w:r>
      <w:r w:rsidR="00F77F98">
        <w:rPr>
          <w:rFonts w:ascii="Times New Roman" w:hAnsi="Times New Roman"/>
          <w:sz w:val="28"/>
          <w:szCs w:val="28"/>
        </w:rPr>
        <w:t xml:space="preserve"> </w:t>
      </w:r>
      <w:r w:rsidR="00F77F98" w:rsidRPr="003A23B5">
        <w:rPr>
          <w:rFonts w:ascii="Times New Roman" w:hAnsi="Times New Roman"/>
          <w:sz w:val="28"/>
          <w:szCs w:val="28"/>
        </w:rPr>
        <w:t>«О бюджете городского округа город Бор на 20</w:t>
      </w:r>
      <w:r w:rsidR="00FB037C">
        <w:rPr>
          <w:rFonts w:ascii="Times New Roman" w:hAnsi="Times New Roman"/>
          <w:sz w:val="28"/>
          <w:szCs w:val="28"/>
        </w:rPr>
        <w:t>22</w:t>
      </w:r>
      <w:r w:rsidR="00F77F98" w:rsidRPr="003A23B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B037C">
        <w:rPr>
          <w:rFonts w:ascii="Times New Roman" w:hAnsi="Times New Roman"/>
          <w:sz w:val="28"/>
          <w:szCs w:val="28"/>
        </w:rPr>
        <w:t>3</w:t>
      </w:r>
      <w:r w:rsidR="00F77F98" w:rsidRPr="003A23B5">
        <w:rPr>
          <w:rFonts w:ascii="Times New Roman" w:hAnsi="Times New Roman"/>
          <w:sz w:val="28"/>
          <w:szCs w:val="28"/>
        </w:rPr>
        <w:t xml:space="preserve"> и 202</w:t>
      </w:r>
      <w:r w:rsidR="00FB037C">
        <w:rPr>
          <w:rFonts w:ascii="Times New Roman" w:hAnsi="Times New Roman"/>
          <w:sz w:val="28"/>
          <w:szCs w:val="28"/>
        </w:rPr>
        <w:t>4</w:t>
      </w:r>
      <w:r w:rsidR="00F77F98" w:rsidRPr="003A23B5">
        <w:rPr>
          <w:rFonts w:ascii="Times New Roman" w:hAnsi="Times New Roman"/>
          <w:sz w:val="28"/>
          <w:szCs w:val="28"/>
        </w:rPr>
        <w:t xml:space="preserve"> годов»</w:t>
      </w:r>
      <w:r w:rsidR="0023255C">
        <w:rPr>
          <w:rFonts w:ascii="Times New Roman" w:hAnsi="Times New Roman"/>
          <w:sz w:val="28"/>
          <w:szCs w:val="28"/>
        </w:rPr>
        <w:t>,</w:t>
      </w:r>
      <w:r w:rsidR="00F77F98">
        <w:rPr>
          <w:rFonts w:ascii="Times New Roman" w:hAnsi="Times New Roman"/>
          <w:sz w:val="28"/>
          <w:szCs w:val="28"/>
        </w:rPr>
        <w:t xml:space="preserve"> </w:t>
      </w:r>
      <w:r w:rsidR="002B2F52" w:rsidRPr="008117D6">
        <w:rPr>
          <w:rFonts w:ascii="Times New Roman" w:hAnsi="Times New Roman"/>
          <w:sz w:val="28"/>
          <w:szCs w:val="28"/>
        </w:rPr>
        <w:t>1</w:t>
      </w:r>
      <w:r w:rsidR="001A1A5A">
        <w:rPr>
          <w:rFonts w:ascii="Times New Roman" w:hAnsi="Times New Roman"/>
          <w:sz w:val="28"/>
          <w:szCs w:val="28"/>
        </w:rPr>
        <w:t>4</w:t>
      </w:r>
      <w:r w:rsidR="002B2F52" w:rsidRPr="008117D6">
        <w:rPr>
          <w:rFonts w:ascii="Times New Roman" w:hAnsi="Times New Roman"/>
          <w:sz w:val="28"/>
          <w:szCs w:val="28"/>
        </w:rPr>
        <w:t xml:space="preserve"> п</w:t>
      </w:r>
      <w:r w:rsidR="002B2F52" w:rsidRPr="003A23B5">
        <w:rPr>
          <w:rFonts w:ascii="Times New Roman" w:hAnsi="Times New Roman"/>
          <w:sz w:val="28"/>
          <w:szCs w:val="28"/>
        </w:rPr>
        <w:t>роектов для внесения изменений в решение Совета депутатов администрации городского округа г. Бор от</w:t>
      </w:r>
      <w:r w:rsidR="002B2F52" w:rsidRPr="003A23B5">
        <w:rPr>
          <w:rFonts w:ascii="Times New Roman" w:hAnsi="Times New Roman"/>
          <w:color w:val="548DD4" w:themeColor="text2" w:themeTint="99"/>
          <w:sz w:val="28"/>
          <w:szCs w:val="28"/>
        </w:rPr>
        <w:t xml:space="preserve"> </w:t>
      </w:r>
      <w:r w:rsidR="00B15276">
        <w:rPr>
          <w:rFonts w:ascii="Times New Roman" w:hAnsi="Times New Roman"/>
          <w:sz w:val="28"/>
          <w:szCs w:val="28"/>
        </w:rPr>
        <w:t>17.12.2020</w:t>
      </w:r>
      <w:r w:rsidR="002B2F52" w:rsidRPr="003A23B5">
        <w:rPr>
          <w:rFonts w:ascii="Times New Roman" w:hAnsi="Times New Roman"/>
          <w:sz w:val="28"/>
          <w:szCs w:val="28"/>
        </w:rPr>
        <w:t xml:space="preserve"> № </w:t>
      </w:r>
      <w:r w:rsidR="00B15276">
        <w:rPr>
          <w:rFonts w:ascii="Times New Roman" w:hAnsi="Times New Roman"/>
          <w:sz w:val="28"/>
          <w:szCs w:val="28"/>
        </w:rPr>
        <w:t>53</w:t>
      </w:r>
      <w:r w:rsidR="002B2F52" w:rsidRPr="003A23B5">
        <w:rPr>
          <w:sz w:val="28"/>
          <w:szCs w:val="28"/>
        </w:rPr>
        <w:t xml:space="preserve"> </w:t>
      </w:r>
      <w:r w:rsidR="002B2F52" w:rsidRPr="003A23B5">
        <w:rPr>
          <w:rFonts w:ascii="Times New Roman" w:hAnsi="Times New Roman"/>
          <w:sz w:val="28"/>
          <w:szCs w:val="28"/>
        </w:rPr>
        <w:t>«О бюджете гор</w:t>
      </w:r>
      <w:r w:rsidR="005C6A9E">
        <w:rPr>
          <w:rFonts w:ascii="Times New Roman" w:hAnsi="Times New Roman"/>
          <w:sz w:val="28"/>
          <w:szCs w:val="28"/>
        </w:rPr>
        <w:t>одского округа город Бор на 2021 год и плановый период 2022 и 2023</w:t>
      </w:r>
      <w:r w:rsidR="002B2F52" w:rsidRPr="003A23B5">
        <w:rPr>
          <w:rFonts w:ascii="Times New Roman" w:hAnsi="Times New Roman"/>
          <w:sz w:val="28"/>
          <w:szCs w:val="28"/>
        </w:rPr>
        <w:t xml:space="preserve"> годов»</w:t>
      </w:r>
      <w:r w:rsidR="002B2F52">
        <w:rPr>
          <w:rFonts w:ascii="Times New Roman" w:hAnsi="Times New Roman"/>
          <w:sz w:val="28"/>
          <w:szCs w:val="28"/>
        </w:rPr>
        <w:t xml:space="preserve">, </w:t>
      </w:r>
      <w:r w:rsidR="004D1564" w:rsidRPr="004D1564">
        <w:rPr>
          <w:rFonts w:ascii="Times New Roman" w:hAnsi="Times New Roman"/>
          <w:sz w:val="28"/>
          <w:szCs w:val="28"/>
        </w:rPr>
        <w:t>6</w:t>
      </w:r>
      <w:r w:rsidR="003A23B5" w:rsidRPr="004D1564">
        <w:rPr>
          <w:rFonts w:ascii="Times New Roman" w:hAnsi="Times New Roman"/>
          <w:sz w:val="28"/>
          <w:szCs w:val="28"/>
        </w:rPr>
        <w:t>4 проекта</w:t>
      </w:r>
      <w:r w:rsidR="00752BC6" w:rsidRPr="004D1564">
        <w:rPr>
          <w:rFonts w:ascii="Times New Roman" w:hAnsi="Times New Roman"/>
          <w:sz w:val="28"/>
          <w:szCs w:val="28"/>
        </w:rPr>
        <w:t xml:space="preserve"> постановлений и распоряжений </w:t>
      </w:r>
      <w:r w:rsidR="00E976B2" w:rsidRPr="004D1564">
        <w:rPr>
          <w:rFonts w:ascii="Times New Roman" w:hAnsi="Times New Roman"/>
          <w:sz w:val="28"/>
          <w:szCs w:val="28"/>
        </w:rPr>
        <w:t>администрации городского округа</w:t>
      </w:r>
      <w:r w:rsidR="00F07E8C" w:rsidRPr="004D1564">
        <w:rPr>
          <w:rFonts w:ascii="Times New Roman" w:hAnsi="Times New Roman"/>
          <w:sz w:val="28"/>
          <w:szCs w:val="28"/>
        </w:rPr>
        <w:t xml:space="preserve"> </w:t>
      </w:r>
      <w:r w:rsidR="00752BC6" w:rsidRPr="004D1564">
        <w:rPr>
          <w:rFonts w:ascii="Times New Roman" w:hAnsi="Times New Roman"/>
          <w:sz w:val="28"/>
          <w:szCs w:val="28"/>
        </w:rPr>
        <w:t>г. Бор</w:t>
      </w:r>
      <w:r w:rsidR="002B2F52" w:rsidRPr="004D1564">
        <w:rPr>
          <w:rFonts w:ascii="Times New Roman" w:hAnsi="Times New Roman"/>
          <w:sz w:val="28"/>
          <w:szCs w:val="28"/>
        </w:rPr>
        <w:t xml:space="preserve"> </w:t>
      </w:r>
      <w:r w:rsidR="002B2F52" w:rsidRPr="00613B6A">
        <w:rPr>
          <w:rFonts w:ascii="Times New Roman" w:hAnsi="Times New Roman"/>
          <w:sz w:val="28"/>
          <w:szCs w:val="28"/>
        </w:rPr>
        <w:t>и</w:t>
      </w:r>
      <w:r w:rsidR="00752BC6" w:rsidRPr="00613B6A">
        <w:rPr>
          <w:rFonts w:ascii="Times New Roman" w:hAnsi="Times New Roman"/>
          <w:color w:val="548DD4" w:themeColor="text2" w:themeTint="99"/>
          <w:sz w:val="28"/>
          <w:szCs w:val="28"/>
        </w:rPr>
        <w:t xml:space="preserve"> </w:t>
      </w:r>
      <w:r w:rsidR="00613B6A" w:rsidRPr="00613B6A">
        <w:rPr>
          <w:rFonts w:ascii="Times New Roman" w:hAnsi="Times New Roman"/>
          <w:sz w:val="28"/>
          <w:szCs w:val="28"/>
        </w:rPr>
        <w:t>355</w:t>
      </w:r>
      <w:r w:rsidR="00752BC6" w:rsidRPr="00613B6A">
        <w:rPr>
          <w:rFonts w:ascii="Times New Roman" w:hAnsi="Times New Roman"/>
          <w:sz w:val="28"/>
          <w:szCs w:val="28"/>
        </w:rPr>
        <w:t xml:space="preserve"> </w:t>
      </w:r>
      <w:r w:rsidR="00F77F98" w:rsidRPr="00613B6A">
        <w:rPr>
          <w:rFonts w:ascii="Times New Roman" w:hAnsi="Times New Roman"/>
          <w:sz w:val="28"/>
          <w:szCs w:val="28"/>
        </w:rPr>
        <w:t>проектов приказов</w:t>
      </w:r>
      <w:r w:rsidR="00752BC6" w:rsidRPr="00613B6A">
        <w:rPr>
          <w:rFonts w:ascii="Times New Roman" w:hAnsi="Times New Roman"/>
          <w:sz w:val="28"/>
          <w:szCs w:val="28"/>
        </w:rPr>
        <w:t xml:space="preserve"> Департамента.  </w:t>
      </w:r>
    </w:p>
    <w:p w:rsidR="0006393D" w:rsidRPr="00455F6D" w:rsidRDefault="00FB6FDC" w:rsidP="0006393D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3B6A">
        <w:rPr>
          <w:rFonts w:ascii="Times New Roman" w:hAnsi="Times New Roman"/>
          <w:bCs/>
          <w:sz w:val="28"/>
          <w:szCs w:val="28"/>
        </w:rPr>
        <w:t>МКУ «Центр бухгалтерского учета» осуществляет свою деятельность</w:t>
      </w:r>
      <w:r w:rsidRPr="00455F6D">
        <w:rPr>
          <w:rFonts w:ascii="Times New Roman" w:hAnsi="Times New Roman"/>
          <w:bCs/>
          <w:sz w:val="28"/>
          <w:szCs w:val="28"/>
        </w:rPr>
        <w:t xml:space="preserve"> в соответствии с Уставом, утвержденным приказом департамента финансов от 20.11.2018 № 79н. Департамент финансов осуществляет полномочия главного распорядителя бюджетных средств в отношении </w:t>
      </w:r>
      <w:r w:rsidR="00CB4674" w:rsidRPr="00455F6D">
        <w:rPr>
          <w:rFonts w:ascii="Times New Roman" w:hAnsi="Times New Roman"/>
          <w:bCs/>
          <w:sz w:val="28"/>
          <w:szCs w:val="28"/>
        </w:rPr>
        <w:t xml:space="preserve">МКУ «Центр бухгалтерского учета». </w:t>
      </w:r>
    </w:p>
    <w:p w:rsidR="00CB4674" w:rsidRPr="00455F6D" w:rsidRDefault="00CB4674" w:rsidP="0006393D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F6D">
        <w:rPr>
          <w:rFonts w:ascii="Times New Roman" w:hAnsi="Times New Roman"/>
          <w:bCs/>
          <w:sz w:val="28"/>
          <w:szCs w:val="28"/>
        </w:rPr>
        <w:t>Предметом деятельности учреждения является ведение бюджетного, бухгалтерского, статистического и налогового учета отраслевых (функциональных) и территориальных органов администрации городского округа г. Бор</w:t>
      </w:r>
      <w:r w:rsidR="008A1698" w:rsidRPr="00455F6D">
        <w:rPr>
          <w:rFonts w:ascii="Times New Roman" w:hAnsi="Times New Roman"/>
          <w:bCs/>
          <w:sz w:val="28"/>
          <w:szCs w:val="28"/>
        </w:rPr>
        <w:t>.</w:t>
      </w:r>
      <w:r w:rsidRPr="00455F6D">
        <w:rPr>
          <w:rFonts w:ascii="Times New Roman" w:hAnsi="Times New Roman"/>
          <w:bCs/>
          <w:sz w:val="28"/>
          <w:szCs w:val="28"/>
        </w:rPr>
        <w:t xml:space="preserve"> </w:t>
      </w:r>
    </w:p>
    <w:p w:rsidR="007A404D" w:rsidRPr="00F656AF" w:rsidRDefault="007A404D" w:rsidP="009814D6">
      <w:pPr>
        <w:ind w:firstLine="709"/>
        <w:jc w:val="both"/>
        <w:rPr>
          <w:sz w:val="28"/>
          <w:szCs w:val="28"/>
        </w:rPr>
      </w:pPr>
      <w:r w:rsidRPr="009814D6">
        <w:rPr>
          <w:sz w:val="28"/>
          <w:szCs w:val="28"/>
        </w:rPr>
        <w:t xml:space="preserve">Доля учреждений, с которыми заключены договоры о бухгалтерском обслуживании, ведущих бухгалтерский (бюджетный) учет и формирующих бюджетную отчетность с применением всех введенных в действие федеральных стандартов бухгалтерского учета составила </w:t>
      </w:r>
      <w:r w:rsidR="009814D6" w:rsidRPr="009814D6">
        <w:rPr>
          <w:sz w:val="28"/>
          <w:szCs w:val="28"/>
        </w:rPr>
        <w:t>69,1</w:t>
      </w:r>
      <w:r w:rsidR="000513E8" w:rsidRPr="009814D6">
        <w:rPr>
          <w:sz w:val="28"/>
          <w:szCs w:val="28"/>
        </w:rPr>
        <w:t xml:space="preserve"> </w:t>
      </w:r>
      <w:r w:rsidRPr="009814D6">
        <w:rPr>
          <w:sz w:val="28"/>
          <w:szCs w:val="28"/>
        </w:rPr>
        <w:t>%, что не превышает запланированных назначений.</w:t>
      </w:r>
      <w:r w:rsidRPr="00F656AF">
        <w:rPr>
          <w:sz w:val="28"/>
          <w:szCs w:val="28"/>
        </w:rPr>
        <w:t xml:space="preserve"> </w:t>
      </w:r>
    </w:p>
    <w:p w:rsidR="00D72C19" w:rsidRPr="00253D4B" w:rsidRDefault="00971172" w:rsidP="000639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состоянию на 01.01.2022</w:t>
      </w:r>
      <w:r w:rsidR="0006393D" w:rsidRPr="00EF2652">
        <w:rPr>
          <w:bCs/>
          <w:sz w:val="28"/>
          <w:szCs w:val="28"/>
        </w:rPr>
        <w:t xml:space="preserve"> </w:t>
      </w:r>
      <w:r w:rsidR="00EF2652" w:rsidRPr="00EF2652">
        <w:rPr>
          <w:bCs/>
          <w:sz w:val="28"/>
          <w:szCs w:val="28"/>
        </w:rPr>
        <w:t xml:space="preserve">МКУ </w:t>
      </w:r>
      <w:r w:rsidR="0006393D" w:rsidRPr="00EF2652">
        <w:rPr>
          <w:bCs/>
          <w:sz w:val="28"/>
          <w:szCs w:val="28"/>
        </w:rPr>
        <w:t>«Центр бухгалтерского обслуживания</w:t>
      </w:r>
      <w:r w:rsidR="0006393D" w:rsidRPr="00253D4B">
        <w:rPr>
          <w:bCs/>
          <w:sz w:val="28"/>
          <w:szCs w:val="28"/>
        </w:rPr>
        <w:t>» осуществляло ведение бюджетного (бухгалтерского) учета и составление бюджетной отчетности 11 территориальных отделов администрации городского округа г. Бор, являющихся главными распорядителями средств бюджета городского округа город Бор, и 11 подведомственных им муниципальных казенных учреждений - центров обеспечения и содержания территорий.</w:t>
      </w:r>
      <w:r w:rsidR="007F5ED0" w:rsidRPr="00253D4B">
        <w:rPr>
          <w:bCs/>
          <w:sz w:val="28"/>
          <w:szCs w:val="28"/>
        </w:rPr>
        <w:t xml:space="preserve"> </w:t>
      </w:r>
    </w:p>
    <w:p w:rsidR="007F5ED0" w:rsidRPr="000D795E" w:rsidRDefault="007F5ED0" w:rsidP="000639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D795E">
        <w:rPr>
          <w:bCs/>
          <w:sz w:val="28"/>
          <w:szCs w:val="28"/>
        </w:rPr>
        <w:lastRenderedPageBreak/>
        <w:t>Сроки сдачи бюджетной отчетности</w:t>
      </w:r>
      <w:r w:rsidR="001C7B3A">
        <w:rPr>
          <w:bCs/>
          <w:sz w:val="28"/>
          <w:szCs w:val="28"/>
        </w:rPr>
        <w:t xml:space="preserve"> за 2021</w:t>
      </w:r>
      <w:r w:rsidR="00D72C19" w:rsidRPr="000D795E">
        <w:rPr>
          <w:bCs/>
          <w:sz w:val="28"/>
          <w:szCs w:val="28"/>
        </w:rPr>
        <w:t xml:space="preserve"> год</w:t>
      </w:r>
      <w:r w:rsidRPr="000D795E">
        <w:rPr>
          <w:bCs/>
          <w:sz w:val="28"/>
          <w:szCs w:val="28"/>
        </w:rPr>
        <w:t>, установленные Департаментом финансов администрации городского округа г. Бор, соблюдены.</w:t>
      </w:r>
    </w:p>
    <w:p w:rsidR="00AB6F97" w:rsidRPr="000D795E" w:rsidRDefault="00AB6F97" w:rsidP="000639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D795E">
        <w:rPr>
          <w:bCs/>
          <w:sz w:val="28"/>
          <w:szCs w:val="28"/>
        </w:rPr>
        <w:t>Допустимое количество коррекций ежемесячной сводной (консолидированной) отчетности по результату ее проверки  Департаментом финансов администрации городского ок</w:t>
      </w:r>
      <w:r w:rsidR="00D72C19" w:rsidRPr="000D795E">
        <w:rPr>
          <w:bCs/>
          <w:sz w:val="28"/>
          <w:szCs w:val="28"/>
        </w:rPr>
        <w:t xml:space="preserve">руга г. Бор  составило 1 единицу, что не превышает запланированных значений. </w:t>
      </w:r>
    </w:p>
    <w:p w:rsidR="00FF35DF" w:rsidRPr="00EB0FCD" w:rsidRDefault="00EE1C81" w:rsidP="00FF35D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795E">
        <w:rPr>
          <w:rFonts w:ascii="Times New Roman" w:hAnsi="Times New Roman"/>
          <w:sz w:val="28"/>
          <w:szCs w:val="28"/>
        </w:rPr>
        <w:t>В рамках реализации Подпрограммы</w:t>
      </w:r>
      <w:r w:rsidR="00EB0FCD" w:rsidRPr="000D795E">
        <w:rPr>
          <w:rFonts w:ascii="Times New Roman" w:hAnsi="Times New Roman"/>
          <w:sz w:val="28"/>
          <w:szCs w:val="28"/>
        </w:rPr>
        <w:t xml:space="preserve"> </w:t>
      </w:r>
      <w:r w:rsidRPr="000D795E">
        <w:rPr>
          <w:rFonts w:ascii="Times New Roman" w:hAnsi="Times New Roman"/>
          <w:sz w:val="28"/>
          <w:szCs w:val="28"/>
        </w:rPr>
        <w:t xml:space="preserve">«Обеспечение реализации муниципальной программы» </w:t>
      </w:r>
      <w:r w:rsidR="00FF35DF" w:rsidRPr="000D795E">
        <w:rPr>
          <w:rFonts w:ascii="Times New Roman" w:hAnsi="Times New Roman"/>
          <w:sz w:val="28"/>
          <w:szCs w:val="28"/>
        </w:rPr>
        <w:t xml:space="preserve">все основные мероприятия, </w:t>
      </w:r>
      <w:r w:rsidR="001C7B3A">
        <w:rPr>
          <w:rFonts w:ascii="Times New Roman" w:hAnsi="Times New Roman"/>
          <w:sz w:val="28"/>
          <w:szCs w:val="28"/>
        </w:rPr>
        <w:t>подлежащие реализации в 2021</w:t>
      </w:r>
      <w:r w:rsidR="00EB0FCD" w:rsidRPr="000D795E">
        <w:rPr>
          <w:rFonts w:ascii="Times New Roman" w:hAnsi="Times New Roman"/>
          <w:sz w:val="28"/>
          <w:szCs w:val="28"/>
        </w:rPr>
        <w:t xml:space="preserve"> году</w:t>
      </w:r>
      <w:r w:rsidR="00FF35DF" w:rsidRPr="000D795E">
        <w:rPr>
          <w:rFonts w:ascii="Times New Roman" w:hAnsi="Times New Roman"/>
          <w:sz w:val="28"/>
          <w:szCs w:val="28"/>
        </w:rPr>
        <w:t xml:space="preserve"> выполнены в полном объеме.</w:t>
      </w:r>
    </w:p>
    <w:p w:rsidR="00C43DB4" w:rsidRPr="000F68D8" w:rsidRDefault="00C43DB4" w:rsidP="00FF35DF">
      <w:pPr>
        <w:pStyle w:val="ConsPlusNormal"/>
        <w:ind w:firstLine="709"/>
        <w:jc w:val="both"/>
        <w:rPr>
          <w:rFonts w:ascii="Times New Roman" w:hAnsi="Times New Roman"/>
          <w:color w:val="548DD4"/>
          <w:sz w:val="28"/>
          <w:szCs w:val="28"/>
        </w:rPr>
      </w:pPr>
    </w:p>
    <w:sectPr w:rsidR="00C43DB4" w:rsidRPr="000F68D8" w:rsidSect="00BA6148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D33" w:rsidRDefault="006F3D33" w:rsidP="00584EB5">
      <w:r>
        <w:separator/>
      </w:r>
    </w:p>
  </w:endnote>
  <w:endnote w:type="continuationSeparator" w:id="1">
    <w:p w:rsidR="006F3D33" w:rsidRDefault="006F3D33" w:rsidP="00584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B5" w:rsidRDefault="00004893">
    <w:pPr>
      <w:pStyle w:val="a7"/>
      <w:jc w:val="right"/>
    </w:pPr>
    <w:r>
      <w:fldChar w:fldCharType="begin"/>
    </w:r>
    <w:r w:rsidR="000F68D8">
      <w:instrText xml:space="preserve"> PAGE   \* MERGEFORMAT </w:instrText>
    </w:r>
    <w:r>
      <w:fldChar w:fldCharType="separate"/>
    </w:r>
    <w:r w:rsidR="008A5DFF">
      <w:rPr>
        <w:noProof/>
      </w:rPr>
      <w:t>10</w:t>
    </w:r>
    <w:r>
      <w:rPr>
        <w:noProof/>
      </w:rPr>
      <w:fldChar w:fldCharType="end"/>
    </w:r>
  </w:p>
  <w:p w:rsidR="00584EB5" w:rsidRDefault="00584EB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D33" w:rsidRDefault="006F3D33" w:rsidP="00584EB5">
      <w:r>
        <w:separator/>
      </w:r>
    </w:p>
  </w:footnote>
  <w:footnote w:type="continuationSeparator" w:id="1">
    <w:p w:rsidR="006F3D33" w:rsidRDefault="006F3D33" w:rsidP="00584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F42"/>
    <w:rsid w:val="0000410E"/>
    <w:rsid w:val="00004893"/>
    <w:rsid w:val="00014B57"/>
    <w:rsid w:val="00021943"/>
    <w:rsid w:val="00022DFE"/>
    <w:rsid w:val="00022E76"/>
    <w:rsid w:val="00022F18"/>
    <w:rsid w:val="0002493A"/>
    <w:rsid w:val="00030398"/>
    <w:rsid w:val="00032B3A"/>
    <w:rsid w:val="00033517"/>
    <w:rsid w:val="000343CF"/>
    <w:rsid w:val="000355CD"/>
    <w:rsid w:val="00041B2F"/>
    <w:rsid w:val="000513E8"/>
    <w:rsid w:val="000529C5"/>
    <w:rsid w:val="0006393D"/>
    <w:rsid w:val="00070A17"/>
    <w:rsid w:val="00076E25"/>
    <w:rsid w:val="000820B0"/>
    <w:rsid w:val="00086E2D"/>
    <w:rsid w:val="0009691D"/>
    <w:rsid w:val="000A144C"/>
    <w:rsid w:val="000A59D9"/>
    <w:rsid w:val="000B210F"/>
    <w:rsid w:val="000B3577"/>
    <w:rsid w:val="000B5B70"/>
    <w:rsid w:val="000B68D7"/>
    <w:rsid w:val="000C5B7A"/>
    <w:rsid w:val="000D4AAD"/>
    <w:rsid w:val="000D6BC1"/>
    <w:rsid w:val="000D795E"/>
    <w:rsid w:val="000E14D5"/>
    <w:rsid w:val="000E35A6"/>
    <w:rsid w:val="000E51D5"/>
    <w:rsid w:val="000E7560"/>
    <w:rsid w:val="000F2AE1"/>
    <w:rsid w:val="000F570F"/>
    <w:rsid w:val="000F5FFF"/>
    <w:rsid w:val="000F68D8"/>
    <w:rsid w:val="001003ED"/>
    <w:rsid w:val="00107C2F"/>
    <w:rsid w:val="00117290"/>
    <w:rsid w:val="00122978"/>
    <w:rsid w:val="00136B40"/>
    <w:rsid w:val="00142A4B"/>
    <w:rsid w:val="00156633"/>
    <w:rsid w:val="00163080"/>
    <w:rsid w:val="00167188"/>
    <w:rsid w:val="00192076"/>
    <w:rsid w:val="00197CB0"/>
    <w:rsid w:val="001A1A5A"/>
    <w:rsid w:val="001B01B5"/>
    <w:rsid w:val="001B0581"/>
    <w:rsid w:val="001C5C1B"/>
    <w:rsid w:val="001C729F"/>
    <w:rsid w:val="001C7B3A"/>
    <w:rsid w:val="001D65DD"/>
    <w:rsid w:val="001E2DA9"/>
    <w:rsid w:val="001E3580"/>
    <w:rsid w:val="001F1D4B"/>
    <w:rsid w:val="001F2236"/>
    <w:rsid w:val="0020212B"/>
    <w:rsid w:val="002025A7"/>
    <w:rsid w:val="002026AC"/>
    <w:rsid w:val="002104E1"/>
    <w:rsid w:val="0021256D"/>
    <w:rsid w:val="0022641B"/>
    <w:rsid w:val="0023255C"/>
    <w:rsid w:val="00232DE8"/>
    <w:rsid w:val="002342B9"/>
    <w:rsid w:val="00242D8E"/>
    <w:rsid w:val="00242E7A"/>
    <w:rsid w:val="002452BF"/>
    <w:rsid w:val="00247378"/>
    <w:rsid w:val="00253D4B"/>
    <w:rsid w:val="00256834"/>
    <w:rsid w:val="00262F7F"/>
    <w:rsid w:val="0026443C"/>
    <w:rsid w:val="002709B4"/>
    <w:rsid w:val="00271CEA"/>
    <w:rsid w:val="002741A8"/>
    <w:rsid w:val="00276319"/>
    <w:rsid w:val="00282042"/>
    <w:rsid w:val="002905AD"/>
    <w:rsid w:val="0029626C"/>
    <w:rsid w:val="002B2F52"/>
    <w:rsid w:val="002C5923"/>
    <w:rsid w:val="002D1513"/>
    <w:rsid w:val="002E030D"/>
    <w:rsid w:val="002E0E22"/>
    <w:rsid w:val="002E4544"/>
    <w:rsid w:val="002F6CA3"/>
    <w:rsid w:val="00311541"/>
    <w:rsid w:val="00332D73"/>
    <w:rsid w:val="003331CB"/>
    <w:rsid w:val="003335A3"/>
    <w:rsid w:val="00333A48"/>
    <w:rsid w:val="00336D9E"/>
    <w:rsid w:val="00340E2B"/>
    <w:rsid w:val="00342366"/>
    <w:rsid w:val="00361DBB"/>
    <w:rsid w:val="0036485E"/>
    <w:rsid w:val="003657C6"/>
    <w:rsid w:val="00371162"/>
    <w:rsid w:val="00372038"/>
    <w:rsid w:val="0038125E"/>
    <w:rsid w:val="003821BE"/>
    <w:rsid w:val="003842B5"/>
    <w:rsid w:val="003922EE"/>
    <w:rsid w:val="00396DE2"/>
    <w:rsid w:val="00397EBA"/>
    <w:rsid w:val="003A23B5"/>
    <w:rsid w:val="003A47E1"/>
    <w:rsid w:val="003A5F12"/>
    <w:rsid w:val="003B35BF"/>
    <w:rsid w:val="003B5C07"/>
    <w:rsid w:val="003B6D24"/>
    <w:rsid w:val="003B6FD6"/>
    <w:rsid w:val="003B7071"/>
    <w:rsid w:val="003B7BD5"/>
    <w:rsid w:val="003C1FF5"/>
    <w:rsid w:val="003D1328"/>
    <w:rsid w:val="003E1A8F"/>
    <w:rsid w:val="003E1B7D"/>
    <w:rsid w:val="003F0A0C"/>
    <w:rsid w:val="003F16E4"/>
    <w:rsid w:val="00401D71"/>
    <w:rsid w:val="00402868"/>
    <w:rsid w:val="00403564"/>
    <w:rsid w:val="00403AF9"/>
    <w:rsid w:val="00411A6A"/>
    <w:rsid w:val="00412FAB"/>
    <w:rsid w:val="00413890"/>
    <w:rsid w:val="004145AB"/>
    <w:rsid w:val="004154E2"/>
    <w:rsid w:val="00432919"/>
    <w:rsid w:val="00433FD7"/>
    <w:rsid w:val="00435386"/>
    <w:rsid w:val="00441905"/>
    <w:rsid w:val="00443673"/>
    <w:rsid w:val="00445237"/>
    <w:rsid w:val="004546E2"/>
    <w:rsid w:val="00455611"/>
    <w:rsid w:val="00455F6D"/>
    <w:rsid w:val="004569E6"/>
    <w:rsid w:val="00462B87"/>
    <w:rsid w:val="004637DF"/>
    <w:rsid w:val="00485517"/>
    <w:rsid w:val="00486A69"/>
    <w:rsid w:val="004912F9"/>
    <w:rsid w:val="004A5325"/>
    <w:rsid w:val="004A6365"/>
    <w:rsid w:val="004B45EB"/>
    <w:rsid w:val="004C1606"/>
    <w:rsid w:val="004C1AB5"/>
    <w:rsid w:val="004C4869"/>
    <w:rsid w:val="004C4DE4"/>
    <w:rsid w:val="004D13CC"/>
    <w:rsid w:val="004D1564"/>
    <w:rsid w:val="004E41FE"/>
    <w:rsid w:val="004E5B23"/>
    <w:rsid w:val="004E6E78"/>
    <w:rsid w:val="004E6FD6"/>
    <w:rsid w:val="004F25D0"/>
    <w:rsid w:val="004F55B9"/>
    <w:rsid w:val="00505280"/>
    <w:rsid w:val="005052BF"/>
    <w:rsid w:val="0051100E"/>
    <w:rsid w:val="005128C5"/>
    <w:rsid w:val="005138A5"/>
    <w:rsid w:val="0052023F"/>
    <w:rsid w:val="00524E0F"/>
    <w:rsid w:val="005257D9"/>
    <w:rsid w:val="00525A04"/>
    <w:rsid w:val="00526DBD"/>
    <w:rsid w:val="00534225"/>
    <w:rsid w:val="00537E5E"/>
    <w:rsid w:val="00546655"/>
    <w:rsid w:val="00552153"/>
    <w:rsid w:val="00563225"/>
    <w:rsid w:val="00570436"/>
    <w:rsid w:val="005762D8"/>
    <w:rsid w:val="0057685E"/>
    <w:rsid w:val="00584EB5"/>
    <w:rsid w:val="0058745D"/>
    <w:rsid w:val="005874D2"/>
    <w:rsid w:val="00596B1A"/>
    <w:rsid w:val="005A09DE"/>
    <w:rsid w:val="005A5779"/>
    <w:rsid w:val="005A5B23"/>
    <w:rsid w:val="005B48E1"/>
    <w:rsid w:val="005B5E04"/>
    <w:rsid w:val="005B6903"/>
    <w:rsid w:val="005C4304"/>
    <w:rsid w:val="005C6A9E"/>
    <w:rsid w:val="005C794A"/>
    <w:rsid w:val="005D2525"/>
    <w:rsid w:val="005E11C8"/>
    <w:rsid w:val="005E157F"/>
    <w:rsid w:val="005E4CD4"/>
    <w:rsid w:val="005F24D6"/>
    <w:rsid w:val="006035DD"/>
    <w:rsid w:val="00605C76"/>
    <w:rsid w:val="0061111F"/>
    <w:rsid w:val="00612776"/>
    <w:rsid w:val="00613B6A"/>
    <w:rsid w:val="00617C19"/>
    <w:rsid w:val="006216CD"/>
    <w:rsid w:val="0062289D"/>
    <w:rsid w:val="00630044"/>
    <w:rsid w:val="00634808"/>
    <w:rsid w:val="00634ADB"/>
    <w:rsid w:val="006350FD"/>
    <w:rsid w:val="0064385C"/>
    <w:rsid w:val="006444C0"/>
    <w:rsid w:val="0066787D"/>
    <w:rsid w:val="00671861"/>
    <w:rsid w:val="00672B63"/>
    <w:rsid w:val="00680DD2"/>
    <w:rsid w:val="00684867"/>
    <w:rsid w:val="00687D08"/>
    <w:rsid w:val="00690076"/>
    <w:rsid w:val="006A3F42"/>
    <w:rsid w:val="006A4198"/>
    <w:rsid w:val="006A4963"/>
    <w:rsid w:val="006C21E8"/>
    <w:rsid w:val="006C5BD5"/>
    <w:rsid w:val="006D3178"/>
    <w:rsid w:val="006D4326"/>
    <w:rsid w:val="006F0183"/>
    <w:rsid w:val="006F3D33"/>
    <w:rsid w:val="006F7F19"/>
    <w:rsid w:val="00700CCC"/>
    <w:rsid w:val="00703C3D"/>
    <w:rsid w:val="007059DE"/>
    <w:rsid w:val="007319A1"/>
    <w:rsid w:val="0073767B"/>
    <w:rsid w:val="00750783"/>
    <w:rsid w:val="00752BC6"/>
    <w:rsid w:val="00754299"/>
    <w:rsid w:val="007620BD"/>
    <w:rsid w:val="00765BE3"/>
    <w:rsid w:val="0077325F"/>
    <w:rsid w:val="00776FF2"/>
    <w:rsid w:val="00783ACB"/>
    <w:rsid w:val="007A147A"/>
    <w:rsid w:val="007A2183"/>
    <w:rsid w:val="007A3564"/>
    <w:rsid w:val="007A404D"/>
    <w:rsid w:val="007B689A"/>
    <w:rsid w:val="007C1723"/>
    <w:rsid w:val="007C2B9B"/>
    <w:rsid w:val="007C2D04"/>
    <w:rsid w:val="007C4324"/>
    <w:rsid w:val="007E123C"/>
    <w:rsid w:val="007F49F6"/>
    <w:rsid w:val="007F5ED0"/>
    <w:rsid w:val="008020B0"/>
    <w:rsid w:val="00802E4E"/>
    <w:rsid w:val="00806D50"/>
    <w:rsid w:val="00807819"/>
    <w:rsid w:val="00811049"/>
    <w:rsid w:val="008111F9"/>
    <w:rsid w:val="008117D6"/>
    <w:rsid w:val="00814043"/>
    <w:rsid w:val="00820FFB"/>
    <w:rsid w:val="00824121"/>
    <w:rsid w:val="008272CF"/>
    <w:rsid w:val="00832F65"/>
    <w:rsid w:val="00842D98"/>
    <w:rsid w:val="00845F28"/>
    <w:rsid w:val="0085336E"/>
    <w:rsid w:val="00855058"/>
    <w:rsid w:val="00866290"/>
    <w:rsid w:val="00867F42"/>
    <w:rsid w:val="008700CC"/>
    <w:rsid w:val="00870365"/>
    <w:rsid w:val="00873457"/>
    <w:rsid w:val="0088149D"/>
    <w:rsid w:val="00882769"/>
    <w:rsid w:val="00887F09"/>
    <w:rsid w:val="008903C0"/>
    <w:rsid w:val="00891C04"/>
    <w:rsid w:val="008955E4"/>
    <w:rsid w:val="008960B5"/>
    <w:rsid w:val="008A1698"/>
    <w:rsid w:val="008A5DFF"/>
    <w:rsid w:val="008B14BC"/>
    <w:rsid w:val="008B4C73"/>
    <w:rsid w:val="008C76AD"/>
    <w:rsid w:val="008E16A3"/>
    <w:rsid w:val="008E32C2"/>
    <w:rsid w:val="008E53B8"/>
    <w:rsid w:val="008F3BAB"/>
    <w:rsid w:val="008F50DA"/>
    <w:rsid w:val="00902293"/>
    <w:rsid w:val="0090276C"/>
    <w:rsid w:val="00920952"/>
    <w:rsid w:val="0092165C"/>
    <w:rsid w:val="00926BC5"/>
    <w:rsid w:val="00926D26"/>
    <w:rsid w:val="009478E8"/>
    <w:rsid w:val="00955347"/>
    <w:rsid w:val="00970B12"/>
    <w:rsid w:val="00971172"/>
    <w:rsid w:val="00980F45"/>
    <w:rsid w:val="009814D6"/>
    <w:rsid w:val="009825B9"/>
    <w:rsid w:val="009830D3"/>
    <w:rsid w:val="00984561"/>
    <w:rsid w:val="009850ED"/>
    <w:rsid w:val="0098619C"/>
    <w:rsid w:val="00995E39"/>
    <w:rsid w:val="009A28BA"/>
    <w:rsid w:val="009A3027"/>
    <w:rsid w:val="009A3686"/>
    <w:rsid w:val="009A5940"/>
    <w:rsid w:val="009B0BA0"/>
    <w:rsid w:val="009B2A0D"/>
    <w:rsid w:val="009D245A"/>
    <w:rsid w:val="009D25D3"/>
    <w:rsid w:val="009E468D"/>
    <w:rsid w:val="009E52B4"/>
    <w:rsid w:val="009E5703"/>
    <w:rsid w:val="009F041E"/>
    <w:rsid w:val="009F5DE1"/>
    <w:rsid w:val="009F7874"/>
    <w:rsid w:val="00A01355"/>
    <w:rsid w:val="00A0261D"/>
    <w:rsid w:val="00A228F1"/>
    <w:rsid w:val="00A309E7"/>
    <w:rsid w:val="00A31771"/>
    <w:rsid w:val="00A334E0"/>
    <w:rsid w:val="00A40639"/>
    <w:rsid w:val="00A40E02"/>
    <w:rsid w:val="00A466C6"/>
    <w:rsid w:val="00A47E54"/>
    <w:rsid w:val="00A50B4D"/>
    <w:rsid w:val="00A53401"/>
    <w:rsid w:val="00A54C9F"/>
    <w:rsid w:val="00A61EE8"/>
    <w:rsid w:val="00A627BE"/>
    <w:rsid w:val="00A644A7"/>
    <w:rsid w:val="00A66B95"/>
    <w:rsid w:val="00A706B9"/>
    <w:rsid w:val="00A74439"/>
    <w:rsid w:val="00A753C6"/>
    <w:rsid w:val="00A76631"/>
    <w:rsid w:val="00A81779"/>
    <w:rsid w:val="00A8323E"/>
    <w:rsid w:val="00A86E69"/>
    <w:rsid w:val="00A935B2"/>
    <w:rsid w:val="00A94222"/>
    <w:rsid w:val="00A95C94"/>
    <w:rsid w:val="00A97725"/>
    <w:rsid w:val="00A97C36"/>
    <w:rsid w:val="00AA0B6B"/>
    <w:rsid w:val="00AA4D6E"/>
    <w:rsid w:val="00AB1CA1"/>
    <w:rsid w:val="00AB6F97"/>
    <w:rsid w:val="00AD1284"/>
    <w:rsid w:val="00AD21EC"/>
    <w:rsid w:val="00AD72F0"/>
    <w:rsid w:val="00AE14A5"/>
    <w:rsid w:val="00AE282D"/>
    <w:rsid w:val="00AE2F42"/>
    <w:rsid w:val="00AF3EB7"/>
    <w:rsid w:val="00B0786B"/>
    <w:rsid w:val="00B12451"/>
    <w:rsid w:val="00B15276"/>
    <w:rsid w:val="00B20320"/>
    <w:rsid w:val="00B20DE2"/>
    <w:rsid w:val="00B245E2"/>
    <w:rsid w:val="00B2472B"/>
    <w:rsid w:val="00B31686"/>
    <w:rsid w:val="00B31AC6"/>
    <w:rsid w:val="00B33405"/>
    <w:rsid w:val="00B40D78"/>
    <w:rsid w:val="00B464CC"/>
    <w:rsid w:val="00B61595"/>
    <w:rsid w:val="00B703D1"/>
    <w:rsid w:val="00B7164D"/>
    <w:rsid w:val="00B728F4"/>
    <w:rsid w:val="00B733D1"/>
    <w:rsid w:val="00B877D8"/>
    <w:rsid w:val="00B90DB9"/>
    <w:rsid w:val="00BA3741"/>
    <w:rsid w:val="00BA6148"/>
    <w:rsid w:val="00BA677E"/>
    <w:rsid w:val="00BA744B"/>
    <w:rsid w:val="00BB45BC"/>
    <w:rsid w:val="00BB535A"/>
    <w:rsid w:val="00BC4509"/>
    <w:rsid w:val="00BC6B4D"/>
    <w:rsid w:val="00BD49C5"/>
    <w:rsid w:val="00BD5800"/>
    <w:rsid w:val="00BD786A"/>
    <w:rsid w:val="00BE4AFC"/>
    <w:rsid w:val="00BE72DF"/>
    <w:rsid w:val="00BF0231"/>
    <w:rsid w:val="00BF213D"/>
    <w:rsid w:val="00BF6915"/>
    <w:rsid w:val="00BF6BD6"/>
    <w:rsid w:val="00BF73F9"/>
    <w:rsid w:val="00C040BA"/>
    <w:rsid w:val="00C067DD"/>
    <w:rsid w:val="00C0775E"/>
    <w:rsid w:val="00C23B4F"/>
    <w:rsid w:val="00C2682E"/>
    <w:rsid w:val="00C27715"/>
    <w:rsid w:val="00C316F2"/>
    <w:rsid w:val="00C32D5F"/>
    <w:rsid w:val="00C330C4"/>
    <w:rsid w:val="00C3731F"/>
    <w:rsid w:val="00C418E8"/>
    <w:rsid w:val="00C43DB4"/>
    <w:rsid w:val="00C471F4"/>
    <w:rsid w:val="00C47BBA"/>
    <w:rsid w:val="00C51B1C"/>
    <w:rsid w:val="00C73CB1"/>
    <w:rsid w:val="00C75A16"/>
    <w:rsid w:val="00C81E75"/>
    <w:rsid w:val="00C907EF"/>
    <w:rsid w:val="00C97101"/>
    <w:rsid w:val="00CA3A61"/>
    <w:rsid w:val="00CA4F6E"/>
    <w:rsid w:val="00CA54C1"/>
    <w:rsid w:val="00CB3556"/>
    <w:rsid w:val="00CB4674"/>
    <w:rsid w:val="00CB5C1E"/>
    <w:rsid w:val="00CB6CE5"/>
    <w:rsid w:val="00CC2788"/>
    <w:rsid w:val="00CC5338"/>
    <w:rsid w:val="00CD2A72"/>
    <w:rsid w:val="00CE2EC3"/>
    <w:rsid w:val="00CE6D1A"/>
    <w:rsid w:val="00CF0312"/>
    <w:rsid w:val="00CF2781"/>
    <w:rsid w:val="00CF7EA4"/>
    <w:rsid w:val="00D01C70"/>
    <w:rsid w:val="00D11B55"/>
    <w:rsid w:val="00D14B88"/>
    <w:rsid w:val="00D204AD"/>
    <w:rsid w:val="00D24BAD"/>
    <w:rsid w:val="00D34780"/>
    <w:rsid w:val="00D40D76"/>
    <w:rsid w:val="00D527DA"/>
    <w:rsid w:val="00D52AF1"/>
    <w:rsid w:val="00D565BB"/>
    <w:rsid w:val="00D57195"/>
    <w:rsid w:val="00D624A3"/>
    <w:rsid w:val="00D63AFC"/>
    <w:rsid w:val="00D711FE"/>
    <w:rsid w:val="00D72C19"/>
    <w:rsid w:val="00D75069"/>
    <w:rsid w:val="00D75DB5"/>
    <w:rsid w:val="00D762C0"/>
    <w:rsid w:val="00D76710"/>
    <w:rsid w:val="00D773F5"/>
    <w:rsid w:val="00D80B78"/>
    <w:rsid w:val="00D96777"/>
    <w:rsid w:val="00DA5373"/>
    <w:rsid w:val="00DB12A6"/>
    <w:rsid w:val="00DB5080"/>
    <w:rsid w:val="00DB59DC"/>
    <w:rsid w:val="00DB5AEC"/>
    <w:rsid w:val="00DB749F"/>
    <w:rsid w:val="00DC18C7"/>
    <w:rsid w:val="00DE0AB5"/>
    <w:rsid w:val="00DE1874"/>
    <w:rsid w:val="00DE46A7"/>
    <w:rsid w:val="00DE4763"/>
    <w:rsid w:val="00E01A73"/>
    <w:rsid w:val="00E01D71"/>
    <w:rsid w:val="00E124C8"/>
    <w:rsid w:val="00E17153"/>
    <w:rsid w:val="00E214B7"/>
    <w:rsid w:val="00E313CD"/>
    <w:rsid w:val="00E57010"/>
    <w:rsid w:val="00E66CF0"/>
    <w:rsid w:val="00E76DF9"/>
    <w:rsid w:val="00E776C8"/>
    <w:rsid w:val="00E828F0"/>
    <w:rsid w:val="00E87E10"/>
    <w:rsid w:val="00E976B2"/>
    <w:rsid w:val="00EA05EE"/>
    <w:rsid w:val="00EA22E5"/>
    <w:rsid w:val="00EB0FCD"/>
    <w:rsid w:val="00EB4EA0"/>
    <w:rsid w:val="00EB7637"/>
    <w:rsid w:val="00EC06DB"/>
    <w:rsid w:val="00EC269C"/>
    <w:rsid w:val="00EC2981"/>
    <w:rsid w:val="00ED4A9E"/>
    <w:rsid w:val="00ED714C"/>
    <w:rsid w:val="00EE1C81"/>
    <w:rsid w:val="00EF045A"/>
    <w:rsid w:val="00EF2652"/>
    <w:rsid w:val="00EF56AC"/>
    <w:rsid w:val="00EF7803"/>
    <w:rsid w:val="00F01897"/>
    <w:rsid w:val="00F07E8C"/>
    <w:rsid w:val="00F136EC"/>
    <w:rsid w:val="00F246C5"/>
    <w:rsid w:val="00F259F4"/>
    <w:rsid w:val="00F271EB"/>
    <w:rsid w:val="00F30686"/>
    <w:rsid w:val="00F33401"/>
    <w:rsid w:val="00F33925"/>
    <w:rsid w:val="00F35F25"/>
    <w:rsid w:val="00F438A5"/>
    <w:rsid w:val="00F5024D"/>
    <w:rsid w:val="00F60508"/>
    <w:rsid w:val="00F63BF0"/>
    <w:rsid w:val="00F63D1F"/>
    <w:rsid w:val="00F65515"/>
    <w:rsid w:val="00F656AF"/>
    <w:rsid w:val="00F72C41"/>
    <w:rsid w:val="00F77340"/>
    <w:rsid w:val="00F77F98"/>
    <w:rsid w:val="00F85BF5"/>
    <w:rsid w:val="00FA2F33"/>
    <w:rsid w:val="00FA6FA0"/>
    <w:rsid w:val="00FA7243"/>
    <w:rsid w:val="00FB037C"/>
    <w:rsid w:val="00FB6FDC"/>
    <w:rsid w:val="00FC1A37"/>
    <w:rsid w:val="00FC50BC"/>
    <w:rsid w:val="00FC6352"/>
    <w:rsid w:val="00FD1A54"/>
    <w:rsid w:val="00FD1D07"/>
    <w:rsid w:val="00FE012D"/>
    <w:rsid w:val="00FE1E03"/>
    <w:rsid w:val="00FE7178"/>
    <w:rsid w:val="00FF35DF"/>
    <w:rsid w:val="00FF39C8"/>
    <w:rsid w:val="00FF4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4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A3F42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C418E8"/>
    <w:rPr>
      <w:rFonts w:ascii="Arial" w:hAnsi="Arial"/>
      <w:sz w:val="22"/>
      <w:szCs w:val="22"/>
      <w:lang w:eastAsia="ru-RU" w:bidi="ar-SA"/>
    </w:rPr>
  </w:style>
  <w:style w:type="paragraph" w:customStyle="1" w:styleId="14">
    <w:name w:val="Знак14"/>
    <w:basedOn w:val="a"/>
    <w:rsid w:val="003D132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uiPriority w:val="99"/>
    <w:unhideWhenUsed/>
    <w:rsid w:val="00765BE3"/>
    <w:rPr>
      <w:color w:val="0000FF"/>
      <w:u w:val="single"/>
    </w:rPr>
  </w:style>
  <w:style w:type="paragraph" w:customStyle="1" w:styleId="consplustitle">
    <w:name w:val="consplustitle"/>
    <w:basedOn w:val="a"/>
    <w:rsid w:val="00A334E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A334E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584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584EB5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84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84EB5"/>
    <w:rPr>
      <w:rFonts w:ascii="Times New Roman" w:eastAsia="Times New Roman" w:hAnsi="Times New Roman"/>
      <w:sz w:val="24"/>
      <w:szCs w:val="24"/>
    </w:rPr>
  </w:style>
  <w:style w:type="paragraph" w:customStyle="1" w:styleId="140">
    <w:name w:val="Знак14"/>
    <w:basedOn w:val="a"/>
    <w:rsid w:val="00A406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-fi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C5D3A-BCA7-4ADA-9B2E-67CB039D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11</Pages>
  <Words>3979</Words>
  <Characters>22682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годовому отчету о финансировании, итогах реализации и оценке эффективности муниципальной программы «Управление муниципальными финансами городского округа г</vt:lpstr>
    </vt:vector>
  </TitlesOfParts>
  <Company/>
  <LinksUpToDate>false</LinksUpToDate>
  <CharactersWithSpaces>26608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годовому отчету о финансировании, итогах реализации и оценке эффективности муниципальной программы «Управление муниципальными финансами городского округа г</dc:title>
  <dc:creator>Разживина</dc:creator>
  <cp:lastModifiedBy>Admin</cp:lastModifiedBy>
  <cp:revision>509</cp:revision>
  <cp:lastPrinted>2022-03-11T12:30:00Z</cp:lastPrinted>
  <dcterms:created xsi:type="dcterms:W3CDTF">2018-04-02T06:57:00Z</dcterms:created>
  <dcterms:modified xsi:type="dcterms:W3CDTF">2022-03-11T12:30:00Z</dcterms:modified>
</cp:coreProperties>
</file>