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AA2" w:rsidRPr="00F54FA5" w:rsidRDefault="00974AA2" w:rsidP="00DC3FE5">
      <w:pPr>
        <w:tabs>
          <w:tab w:val="left" w:pos="9071"/>
        </w:tabs>
        <w:ind w:right="-1"/>
        <w:jc w:val="center"/>
        <w:rPr>
          <w:rFonts w:ascii="Times New Roman" w:hAnsi="Times New Roman"/>
          <w:sz w:val="36"/>
          <w:szCs w:val="36"/>
        </w:rPr>
      </w:pPr>
      <w:r w:rsidRPr="00F54FA5">
        <w:rPr>
          <w:rFonts w:ascii="Times New Roman" w:hAnsi="Times New Roman"/>
          <w:sz w:val="36"/>
          <w:szCs w:val="36"/>
        </w:rPr>
        <w:t xml:space="preserve">Администрация городского округа город Бор </w:t>
      </w:r>
    </w:p>
    <w:p w:rsidR="00974AA2" w:rsidRPr="00F54FA5" w:rsidRDefault="00974AA2" w:rsidP="00DC3FE5">
      <w:pPr>
        <w:tabs>
          <w:tab w:val="left" w:pos="9071"/>
        </w:tabs>
        <w:ind w:right="-1"/>
        <w:jc w:val="center"/>
        <w:rPr>
          <w:rFonts w:ascii="Times New Roman" w:hAnsi="Times New Roman"/>
          <w:sz w:val="36"/>
          <w:szCs w:val="36"/>
        </w:rPr>
      </w:pPr>
      <w:r w:rsidRPr="00F54FA5">
        <w:rPr>
          <w:rFonts w:ascii="Times New Roman" w:hAnsi="Times New Roman"/>
          <w:sz w:val="36"/>
          <w:szCs w:val="36"/>
        </w:rPr>
        <w:t>Нижегородской области</w:t>
      </w:r>
    </w:p>
    <w:p w:rsidR="00974AA2" w:rsidRPr="00F54FA5" w:rsidRDefault="00974AA2" w:rsidP="00DC3FE5">
      <w:pPr>
        <w:tabs>
          <w:tab w:val="left" w:pos="9071"/>
        </w:tabs>
        <w:ind w:right="-1"/>
        <w:jc w:val="center"/>
        <w:rPr>
          <w:rFonts w:ascii="Times New Roman" w:hAnsi="Times New Roman"/>
          <w:sz w:val="36"/>
          <w:szCs w:val="36"/>
        </w:rPr>
      </w:pPr>
    </w:p>
    <w:p w:rsidR="00974AA2" w:rsidRPr="00F54FA5" w:rsidRDefault="00974AA2" w:rsidP="00DC3FE5">
      <w:pPr>
        <w:jc w:val="center"/>
        <w:rPr>
          <w:rFonts w:ascii="Times New Roman" w:hAnsi="Times New Roman"/>
          <w:b/>
          <w:bCs/>
          <w:color w:val="000000"/>
          <w:sz w:val="36"/>
          <w:szCs w:val="36"/>
        </w:rPr>
      </w:pPr>
      <w:r w:rsidRPr="00F54FA5">
        <w:rPr>
          <w:rFonts w:ascii="Times New Roman" w:hAnsi="Times New Roman"/>
          <w:b/>
          <w:bCs/>
          <w:color w:val="000000"/>
          <w:sz w:val="36"/>
          <w:szCs w:val="36"/>
        </w:rPr>
        <w:t>ПОСТАНОВЛЕНИЕ</w:t>
      </w:r>
    </w:p>
    <w:p w:rsidR="00974AA2" w:rsidRPr="00EC58EF" w:rsidRDefault="00974AA2" w:rsidP="00DC3FE5">
      <w:pPr>
        <w:jc w:val="center"/>
        <w:rPr>
          <w:rFonts w:ascii="Times New Roman" w:hAnsi="Times New Roman"/>
          <w:color w:val="000000"/>
          <w:sz w:val="28"/>
          <w:szCs w:val="28"/>
        </w:rPr>
      </w:pPr>
    </w:p>
    <w:tbl>
      <w:tblPr>
        <w:tblW w:w="0" w:type="auto"/>
        <w:tblInd w:w="2" w:type="dxa"/>
        <w:tblLayout w:type="fixed"/>
        <w:tblLook w:val="0000"/>
      </w:tblPr>
      <w:tblGrid>
        <w:gridCol w:w="4643"/>
        <w:gridCol w:w="4854"/>
      </w:tblGrid>
      <w:tr w:rsidR="00974AA2" w:rsidRPr="00EC58EF" w:rsidTr="00DC3FE5">
        <w:tc>
          <w:tcPr>
            <w:tcW w:w="4643" w:type="dxa"/>
            <w:tcBorders>
              <w:top w:val="nil"/>
              <w:left w:val="nil"/>
              <w:bottom w:val="nil"/>
              <w:right w:val="nil"/>
            </w:tcBorders>
          </w:tcPr>
          <w:p w:rsidR="00974AA2" w:rsidRPr="00EC58EF" w:rsidRDefault="00974AA2" w:rsidP="00AE4FB5">
            <w:pPr>
              <w:tabs>
                <w:tab w:val="left" w:pos="9071"/>
              </w:tabs>
              <w:ind w:right="-1"/>
              <w:jc w:val="both"/>
              <w:rPr>
                <w:rFonts w:ascii="Times New Roman" w:hAnsi="Times New Roman"/>
                <w:sz w:val="28"/>
                <w:szCs w:val="28"/>
              </w:rPr>
            </w:pPr>
            <w:r w:rsidRPr="00EC58EF">
              <w:rPr>
                <w:rFonts w:ascii="Times New Roman" w:hAnsi="Times New Roman"/>
                <w:sz w:val="28"/>
                <w:szCs w:val="28"/>
              </w:rPr>
              <w:t xml:space="preserve">От </w:t>
            </w:r>
            <w:r>
              <w:rPr>
                <w:rFonts w:ascii="Times New Roman" w:hAnsi="Times New Roman"/>
                <w:sz w:val="28"/>
                <w:szCs w:val="28"/>
              </w:rPr>
              <w:t>03.11.2022</w:t>
            </w:r>
          </w:p>
        </w:tc>
        <w:tc>
          <w:tcPr>
            <w:tcW w:w="4854" w:type="dxa"/>
            <w:tcBorders>
              <w:top w:val="nil"/>
              <w:left w:val="nil"/>
              <w:bottom w:val="nil"/>
              <w:right w:val="nil"/>
            </w:tcBorders>
          </w:tcPr>
          <w:p w:rsidR="00974AA2" w:rsidRPr="00EC58EF" w:rsidRDefault="00974AA2" w:rsidP="00AE4FB5">
            <w:pPr>
              <w:tabs>
                <w:tab w:val="left" w:pos="9071"/>
              </w:tabs>
              <w:jc w:val="right"/>
              <w:rPr>
                <w:rFonts w:ascii="Times New Roman" w:hAnsi="Times New Roman"/>
                <w:sz w:val="28"/>
                <w:szCs w:val="28"/>
              </w:rPr>
            </w:pPr>
            <w:r w:rsidRPr="00EC58EF">
              <w:rPr>
                <w:rFonts w:ascii="Times New Roman" w:hAnsi="Times New Roman"/>
                <w:sz w:val="28"/>
                <w:szCs w:val="28"/>
              </w:rPr>
              <w:t xml:space="preserve">№ </w:t>
            </w:r>
            <w:r>
              <w:rPr>
                <w:rFonts w:ascii="Times New Roman" w:hAnsi="Times New Roman"/>
                <w:sz w:val="28"/>
                <w:szCs w:val="28"/>
              </w:rPr>
              <w:t>5690</w:t>
            </w:r>
          </w:p>
        </w:tc>
      </w:tr>
    </w:tbl>
    <w:p w:rsidR="00974AA2" w:rsidRDefault="00974AA2"/>
    <w:p w:rsidR="00974AA2" w:rsidRDefault="00974AA2" w:rsidP="00DC3FE5">
      <w:pPr>
        <w:jc w:val="center"/>
        <w:rPr>
          <w:rFonts w:ascii="Times New Roman" w:hAnsi="Times New Roman" w:cs="Times New Roman"/>
          <w:b/>
          <w:bCs/>
          <w:sz w:val="28"/>
          <w:szCs w:val="28"/>
        </w:rPr>
      </w:pPr>
    </w:p>
    <w:p w:rsidR="00974AA2" w:rsidRDefault="00974AA2" w:rsidP="00DC3FE5">
      <w:pPr>
        <w:jc w:val="center"/>
        <w:rPr>
          <w:rFonts w:ascii="Times New Roman" w:hAnsi="Times New Roman" w:cs="Times New Roman"/>
          <w:b/>
          <w:bCs/>
          <w:sz w:val="28"/>
          <w:szCs w:val="28"/>
        </w:rPr>
      </w:pPr>
      <w:r w:rsidRPr="007C5837">
        <w:rPr>
          <w:rFonts w:ascii="Times New Roman" w:hAnsi="Times New Roman" w:cs="Times New Roman"/>
          <w:b/>
          <w:bCs/>
          <w:sz w:val="28"/>
          <w:szCs w:val="28"/>
        </w:rPr>
        <w:t>Об</w:t>
      </w:r>
      <w:r>
        <w:rPr>
          <w:rFonts w:ascii="Times New Roman" w:hAnsi="Times New Roman" w:cs="Times New Roman"/>
          <w:b/>
          <w:bCs/>
          <w:sz w:val="28"/>
          <w:szCs w:val="28"/>
        </w:rPr>
        <w:t xml:space="preserve"> утверждении Основных направлений долговой политики городского округа город Бор на 2023 год и на плановый период 2024 и 2025 годов</w:t>
      </w:r>
    </w:p>
    <w:p w:rsidR="00974AA2" w:rsidRDefault="00974AA2" w:rsidP="00E53107">
      <w:pPr>
        <w:spacing w:line="276" w:lineRule="auto"/>
        <w:jc w:val="center"/>
        <w:rPr>
          <w:rFonts w:ascii="Times New Roman" w:hAnsi="Times New Roman" w:cs="Times New Roman"/>
          <w:b/>
          <w:bCs/>
          <w:sz w:val="28"/>
          <w:szCs w:val="28"/>
        </w:rPr>
      </w:pPr>
    </w:p>
    <w:p w:rsidR="00974AA2" w:rsidRDefault="00974AA2" w:rsidP="00DC3FE5">
      <w:pPr>
        <w:spacing w:line="360" w:lineRule="auto"/>
        <w:ind w:firstLine="708"/>
        <w:jc w:val="both"/>
        <w:rPr>
          <w:rFonts w:ascii="Times New Roman" w:hAnsi="Times New Roman" w:cs="Times New Roman"/>
          <w:sz w:val="28"/>
          <w:szCs w:val="28"/>
        </w:rPr>
      </w:pPr>
      <w:r w:rsidRPr="00E80B99">
        <w:rPr>
          <w:rFonts w:ascii="Times New Roman" w:hAnsi="Times New Roman" w:cs="Times New Roman"/>
          <w:sz w:val="28"/>
          <w:szCs w:val="28"/>
        </w:rPr>
        <w:t xml:space="preserve">В соответствии со </w:t>
      </w:r>
      <w:hyperlink r:id="rId7" w:history="1">
        <w:r w:rsidRPr="00E80B99">
          <w:rPr>
            <w:rFonts w:ascii="Times New Roman" w:hAnsi="Times New Roman" w:cs="Times New Roman"/>
            <w:sz w:val="28"/>
            <w:szCs w:val="28"/>
          </w:rPr>
          <w:t xml:space="preserve">статьей </w:t>
        </w:r>
        <w:r>
          <w:rPr>
            <w:rFonts w:ascii="Times New Roman" w:hAnsi="Times New Roman" w:cs="Times New Roman"/>
            <w:sz w:val="28"/>
            <w:szCs w:val="28"/>
          </w:rPr>
          <w:t>107.1</w:t>
        </w:r>
      </w:hyperlink>
      <w:r w:rsidRPr="00E80B99">
        <w:rPr>
          <w:rFonts w:ascii="Times New Roman" w:hAnsi="Times New Roman" w:cs="Times New Roman"/>
          <w:sz w:val="28"/>
          <w:szCs w:val="28"/>
        </w:rPr>
        <w:t xml:space="preserve"> Бюджетного кодекса Российской Федерации</w:t>
      </w:r>
      <w:r>
        <w:rPr>
          <w:rFonts w:ascii="Times New Roman" w:hAnsi="Times New Roman" w:cs="Times New Roman"/>
          <w:sz w:val="28"/>
          <w:szCs w:val="28"/>
        </w:rPr>
        <w:t>, статьей 39 Устава муниципального образования городского округа город Бор</w:t>
      </w:r>
      <w:r w:rsidRPr="00E80B99">
        <w:rPr>
          <w:rFonts w:ascii="Times New Roman" w:hAnsi="Times New Roman" w:cs="Times New Roman"/>
          <w:sz w:val="28"/>
          <w:szCs w:val="28"/>
        </w:rPr>
        <w:t xml:space="preserve"> администрация городского округа г. Бор постановляет:</w:t>
      </w:r>
    </w:p>
    <w:p w:rsidR="00974AA2" w:rsidRDefault="00974AA2" w:rsidP="00DC3FE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Утвердить Основные направления долговой политики городского округа город Бор на 2023 год и на плановый период 2024 и 2025 годов согласно приложению, к настоящему постановлению.</w:t>
      </w:r>
    </w:p>
    <w:p w:rsidR="00974AA2" w:rsidRPr="00E80B99" w:rsidRDefault="00974AA2" w:rsidP="00DC3FE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Постановление вступает в силу с 1 января 2023 года.</w:t>
      </w:r>
    </w:p>
    <w:p w:rsidR="00974AA2" w:rsidRPr="00E22A2E" w:rsidRDefault="00974AA2" w:rsidP="00DC3FE5">
      <w:pPr>
        <w:pStyle w:val="ConsPlusNormal"/>
        <w:tabs>
          <w:tab w:val="left" w:pos="1167"/>
        </w:tabs>
        <w:spacing w:line="36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w:t>
      </w:r>
      <w:r w:rsidRPr="00E80B99">
        <w:rPr>
          <w:rFonts w:ascii="Times New Roman" w:hAnsi="Times New Roman" w:cs="Times New Roman"/>
          <w:sz w:val="28"/>
          <w:szCs w:val="28"/>
        </w:rPr>
        <w:t xml:space="preserve">. </w:t>
      </w:r>
      <w:r w:rsidRPr="00C52292">
        <w:rPr>
          <w:rFonts w:ascii="Times New Roman" w:hAnsi="Times New Roman" w:cs="Times New Roman"/>
          <w:sz w:val="28"/>
          <w:szCs w:val="28"/>
          <w:lang w:eastAsia="en-US"/>
        </w:rPr>
        <w:t xml:space="preserve">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«БОР-оффициал» и размещение на официальном сайте органов местного </w:t>
      </w:r>
      <w:r w:rsidRPr="00092C09">
        <w:rPr>
          <w:rFonts w:ascii="Times New Roman" w:hAnsi="Times New Roman" w:cs="Times New Roman"/>
          <w:sz w:val="28"/>
          <w:szCs w:val="28"/>
          <w:lang w:eastAsia="en-US"/>
        </w:rPr>
        <w:t xml:space="preserve">самоуправления </w:t>
      </w:r>
      <w:r w:rsidRPr="00092C09">
        <w:rPr>
          <w:rFonts w:ascii="Times New Roman" w:hAnsi="Times New Roman" w:cs="Times New Roman"/>
          <w:sz w:val="28"/>
          <w:szCs w:val="28"/>
          <w:lang w:val="en-US" w:eastAsia="en-US"/>
        </w:rPr>
        <w:t>www</w:t>
      </w:r>
      <w:r w:rsidRPr="00092C09">
        <w:rPr>
          <w:rFonts w:ascii="Times New Roman" w:hAnsi="Times New Roman" w:cs="Times New Roman"/>
          <w:sz w:val="28"/>
          <w:szCs w:val="28"/>
          <w:lang w:eastAsia="en-US"/>
        </w:rPr>
        <w:t>.borcity.ru.</w:t>
      </w:r>
    </w:p>
    <w:p w:rsidR="00974AA2" w:rsidRPr="00E22A2E" w:rsidRDefault="00974AA2" w:rsidP="00ED40D7">
      <w:pPr>
        <w:spacing w:line="276" w:lineRule="auto"/>
        <w:ind w:firstLine="708"/>
        <w:jc w:val="both"/>
        <w:rPr>
          <w:rFonts w:ascii="Times New Roman" w:hAnsi="Times New Roman" w:cs="Times New Roman"/>
          <w:sz w:val="28"/>
          <w:szCs w:val="28"/>
        </w:rPr>
      </w:pPr>
    </w:p>
    <w:p w:rsidR="00974AA2" w:rsidRDefault="00974AA2" w:rsidP="00ED40D7">
      <w:pPr>
        <w:spacing w:line="276" w:lineRule="auto"/>
        <w:ind w:firstLine="708"/>
        <w:jc w:val="both"/>
        <w:rPr>
          <w:rFonts w:ascii="Times New Roman" w:hAnsi="Times New Roman" w:cs="Times New Roman"/>
          <w:sz w:val="28"/>
          <w:szCs w:val="28"/>
        </w:rPr>
      </w:pPr>
    </w:p>
    <w:p w:rsidR="00974AA2" w:rsidRPr="00E80B99" w:rsidRDefault="00974AA2" w:rsidP="00ED40D7">
      <w:pPr>
        <w:spacing w:line="276" w:lineRule="auto"/>
        <w:ind w:firstLine="708"/>
        <w:jc w:val="both"/>
        <w:rPr>
          <w:rFonts w:ascii="Times New Roman" w:hAnsi="Times New Roman" w:cs="Times New Roman"/>
          <w:sz w:val="28"/>
          <w:szCs w:val="28"/>
        </w:rPr>
      </w:pPr>
    </w:p>
    <w:p w:rsidR="00974AA2" w:rsidRPr="00E80B99" w:rsidRDefault="00974AA2" w:rsidP="00ED40D7">
      <w:pPr>
        <w:pStyle w:val="ConsPlusNormal"/>
        <w:spacing w:before="220" w:line="276" w:lineRule="auto"/>
        <w:jc w:val="both"/>
        <w:rPr>
          <w:rFonts w:ascii="Times New Roman" w:hAnsi="Times New Roman" w:cs="Times New Roman"/>
          <w:sz w:val="28"/>
          <w:szCs w:val="28"/>
        </w:rPr>
      </w:pPr>
      <w:r>
        <w:rPr>
          <w:rFonts w:ascii="Times New Roman" w:hAnsi="Times New Roman" w:cs="Times New Roman"/>
          <w:sz w:val="28"/>
          <w:szCs w:val="28"/>
        </w:rPr>
        <w:t>Глава местного самоуправления                                                       А.В. Боровский</w:t>
      </w:r>
    </w:p>
    <w:p w:rsidR="00974AA2" w:rsidRDefault="00974AA2" w:rsidP="00E80B99">
      <w:pPr>
        <w:spacing w:line="276" w:lineRule="auto"/>
        <w:jc w:val="both"/>
        <w:rPr>
          <w:rFonts w:ascii="Times New Roman" w:hAnsi="Times New Roman" w:cs="Times New Roman"/>
          <w:b/>
          <w:bCs/>
          <w:sz w:val="28"/>
          <w:szCs w:val="28"/>
        </w:rPr>
      </w:pPr>
    </w:p>
    <w:p w:rsidR="00974AA2" w:rsidRDefault="00974AA2" w:rsidP="00E80B99">
      <w:pPr>
        <w:spacing w:line="276" w:lineRule="auto"/>
        <w:jc w:val="both"/>
        <w:rPr>
          <w:rFonts w:ascii="Times New Roman" w:hAnsi="Times New Roman" w:cs="Times New Roman"/>
          <w:b/>
          <w:bCs/>
          <w:sz w:val="28"/>
          <w:szCs w:val="28"/>
        </w:rPr>
      </w:pPr>
    </w:p>
    <w:p w:rsidR="00974AA2" w:rsidRDefault="00974AA2" w:rsidP="00E80B99">
      <w:pPr>
        <w:spacing w:line="276" w:lineRule="auto"/>
        <w:jc w:val="both"/>
        <w:rPr>
          <w:rFonts w:ascii="Times New Roman" w:hAnsi="Times New Roman" w:cs="Times New Roman"/>
          <w:b/>
          <w:bCs/>
          <w:sz w:val="28"/>
          <w:szCs w:val="28"/>
        </w:rPr>
      </w:pPr>
    </w:p>
    <w:p w:rsidR="00974AA2" w:rsidRDefault="00974AA2" w:rsidP="00E80B99">
      <w:pPr>
        <w:spacing w:line="276" w:lineRule="auto"/>
        <w:jc w:val="both"/>
        <w:rPr>
          <w:rFonts w:ascii="Times New Roman" w:hAnsi="Times New Roman" w:cs="Times New Roman"/>
          <w:b/>
          <w:bCs/>
          <w:sz w:val="28"/>
          <w:szCs w:val="28"/>
        </w:rPr>
      </w:pPr>
    </w:p>
    <w:p w:rsidR="00974AA2" w:rsidRDefault="00974AA2" w:rsidP="00E80B99">
      <w:pPr>
        <w:spacing w:line="276" w:lineRule="auto"/>
        <w:jc w:val="both"/>
        <w:rPr>
          <w:rFonts w:ascii="Times New Roman" w:hAnsi="Times New Roman" w:cs="Times New Roman"/>
          <w:b/>
          <w:bCs/>
          <w:sz w:val="28"/>
          <w:szCs w:val="28"/>
        </w:rPr>
      </w:pPr>
    </w:p>
    <w:p w:rsidR="00974AA2" w:rsidRPr="00DC3FE5" w:rsidRDefault="00974AA2" w:rsidP="00E80B99">
      <w:pPr>
        <w:spacing w:line="276" w:lineRule="auto"/>
        <w:jc w:val="both"/>
        <w:rPr>
          <w:rFonts w:ascii="Times New Roman" w:hAnsi="Times New Roman" w:cs="Times New Roman"/>
          <w:sz w:val="24"/>
          <w:szCs w:val="24"/>
        </w:rPr>
      </w:pPr>
      <w:r w:rsidRPr="00DC3FE5">
        <w:rPr>
          <w:rFonts w:ascii="Times New Roman" w:hAnsi="Times New Roman" w:cs="Times New Roman"/>
          <w:sz w:val="24"/>
          <w:szCs w:val="24"/>
        </w:rPr>
        <w:t>Летяева Н.Ю.</w:t>
      </w:r>
    </w:p>
    <w:p w:rsidR="00974AA2" w:rsidRDefault="00974AA2" w:rsidP="00E80B99">
      <w:pPr>
        <w:spacing w:line="276" w:lineRule="auto"/>
        <w:jc w:val="both"/>
        <w:rPr>
          <w:rFonts w:ascii="Times New Roman" w:hAnsi="Times New Roman" w:cs="Times New Roman"/>
          <w:b/>
          <w:bCs/>
          <w:sz w:val="28"/>
          <w:szCs w:val="28"/>
        </w:rPr>
      </w:pPr>
      <w:r w:rsidRPr="00DC3FE5">
        <w:rPr>
          <w:rFonts w:ascii="Times New Roman" w:hAnsi="Times New Roman" w:cs="Times New Roman"/>
          <w:sz w:val="24"/>
          <w:szCs w:val="24"/>
        </w:rPr>
        <w:t>21048</w:t>
      </w:r>
    </w:p>
    <w:p w:rsidR="00B82D19" w:rsidRDefault="00B82D19" w:rsidP="00652927">
      <w:pPr>
        <w:pStyle w:val="ConsPlusNormal"/>
        <w:jc w:val="right"/>
        <w:outlineLvl w:val="0"/>
        <w:rPr>
          <w:rFonts w:ascii="Times New Roman" w:hAnsi="Times New Roman" w:cs="Times New Roman"/>
          <w:sz w:val="28"/>
          <w:szCs w:val="28"/>
        </w:rPr>
      </w:pPr>
    </w:p>
    <w:p w:rsidR="00B82D19" w:rsidRDefault="00B82D19" w:rsidP="00652927">
      <w:pPr>
        <w:pStyle w:val="ConsPlusNormal"/>
        <w:jc w:val="right"/>
        <w:outlineLvl w:val="0"/>
        <w:rPr>
          <w:rFonts w:ascii="Times New Roman" w:hAnsi="Times New Roman" w:cs="Times New Roman"/>
          <w:sz w:val="28"/>
          <w:szCs w:val="28"/>
        </w:rPr>
      </w:pPr>
    </w:p>
    <w:p w:rsidR="00B82D19" w:rsidRDefault="00B82D19" w:rsidP="00652927">
      <w:pPr>
        <w:pStyle w:val="ConsPlusNormal"/>
        <w:jc w:val="right"/>
        <w:outlineLvl w:val="0"/>
        <w:rPr>
          <w:rFonts w:ascii="Times New Roman" w:hAnsi="Times New Roman" w:cs="Times New Roman"/>
          <w:sz w:val="28"/>
          <w:szCs w:val="28"/>
        </w:rPr>
      </w:pPr>
    </w:p>
    <w:p w:rsidR="00B82D19" w:rsidRDefault="00B82D19" w:rsidP="00652927">
      <w:pPr>
        <w:pStyle w:val="ConsPlusNormal"/>
        <w:jc w:val="right"/>
        <w:outlineLvl w:val="0"/>
        <w:rPr>
          <w:rFonts w:ascii="Times New Roman" w:hAnsi="Times New Roman" w:cs="Times New Roman"/>
          <w:sz w:val="28"/>
          <w:szCs w:val="28"/>
        </w:rPr>
      </w:pPr>
    </w:p>
    <w:p w:rsidR="00B82D19" w:rsidRDefault="00B82D19" w:rsidP="00652927">
      <w:pPr>
        <w:pStyle w:val="ConsPlusNormal"/>
        <w:jc w:val="right"/>
        <w:outlineLvl w:val="0"/>
        <w:rPr>
          <w:rFonts w:ascii="Times New Roman" w:hAnsi="Times New Roman" w:cs="Times New Roman"/>
          <w:sz w:val="28"/>
          <w:szCs w:val="28"/>
        </w:rPr>
      </w:pPr>
    </w:p>
    <w:p w:rsidR="00974AA2" w:rsidRPr="00DC3FE5" w:rsidRDefault="00974AA2" w:rsidP="00652927">
      <w:pPr>
        <w:pStyle w:val="ConsPlusNormal"/>
        <w:jc w:val="right"/>
        <w:outlineLvl w:val="0"/>
        <w:rPr>
          <w:rFonts w:ascii="Times New Roman" w:hAnsi="Times New Roman" w:cs="Times New Roman"/>
          <w:sz w:val="28"/>
          <w:szCs w:val="28"/>
        </w:rPr>
      </w:pPr>
      <w:r w:rsidRPr="00DC3FE5">
        <w:rPr>
          <w:rFonts w:ascii="Times New Roman" w:hAnsi="Times New Roman" w:cs="Times New Roman"/>
          <w:sz w:val="28"/>
          <w:szCs w:val="28"/>
        </w:rPr>
        <w:lastRenderedPageBreak/>
        <w:t>УТВЕРЖДЕНЫ</w:t>
      </w:r>
    </w:p>
    <w:p w:rsidR="00974AA2" w:rsidRPr="00DC3FE5" w:rsidRDefault="00974AA2" w:rsidP="00652927">
      <w:pPr>
        <w:pStyle w:val="ConsPlusNormal"/>
        <w:jc w:val="right"/>
        <w:rPr>
          <w:rFonts w:ascii="Times New Roman" w:hAnsi="Times New Roman" w:cs="Times New Roman"/>
          <w:sz w:val="28"/>
          <w:szCs w:val="28"/>
        </w:rPr>
      </w:pPr>
      <w:r w:rsidRPr="00DC3FE5">
        <w:rPr>
          <w:rFonts w:ascii="Times New Roman" w:hAnsi="Times New Roman" w:cs="Times New Roman"/>
          <w:sz w:val="28"/>
          <w:szCs w:val="28"/>
        </w:rPr>
        <w:t>постановлением администрации</w:t>
      </w:r>
    </w:p>
    <w:p w:rsidR="00974AA2" w:rsidRPr="00DC3FE5" w:rsidRDefault="00974AA2" w:rsidP="00652927">
      <w:pPr>
        <w:pStyle w:val="ConsPlusNormal"/>
        <w:jc w:val="right"/>
        <w:rPr>
          <w:rFonts w:ascii="Times New Roman" w:hAnsi="Times New Roman" w:cs="Times New Roman"/>
          <w:sz w:val="28"/>
          <w:szCs w:val="28"/>
        </w:rPr>
      </w:pPr>
      <w:r w:rsidRPr="00DC3FE5">
        <w:rPr>
          <w:rFonts w:ascii="Times New Roman" w:hAnsi="Times New Roman" w:cs="Times New Roman"/>
          <w:sz w:val="28"/>
          <w:szCs w:val="28"/>
        </w:rPr>
        <w:t>городского округа г. Бор</w:t>
      </w:r>
    </w:p>
    <w:p w:rsidR="00974AA2" w:rsidRPr="00DC3FE5" w:rsidRDefault="00974AA2" w:rsidP="00652927">
      <w:pPr>
        <w:pStyle w:val="ConsPlusNormal"/>
        <w:jc w:val="right"/>
        <w:rPr>
          <w:rFonts w:ascii="Times New Roman" w:hAnsi="Times New Roman" w:cs="Times New Roman"/>
          <w:sz w:val="28"/>
          <w:szCs w:val="28"/>
        </w:rPr>
      </w:pPr>
      <w:r w:rsidRPr="00DC3FE5">
        <w:rPr>
          <w:rFonts w:ascii="Times New Roman" w:hAnsi="Times New Roman" w:cs="Times New Roman"/>
          <w:sz w:val="28"/>
          <w:szCs w:val="28"/>
        </w:rPr>
        <w:t>от 03.11.2022  № 5690</w:t>
      </w:r>
    </w:p>
    <w:p w:rsidR="00974AA2" w:rsidRPr="00652927" w:rsidRDefault="00974AA2" w:rsidP="00652927">
      <w:pPr>
        <w:pStyle w:val="ConsPlusNormal"/>
        <w:jc w:val="right"/>
        <w:rPr>
          <w:rFonts w:ascii="Times New Roman" w:hAnsi="Times New Roman" w:cs="Times New Roman"/>
        </w:rPr>
      </w:pPr>
    </w:p>
    <w:p w:rsidR="00974AA2" w:rsidRPr="00652927" w:rsidRDefault="00974AA2" w:rsidP="00652927">
      <w:pPr>
        <w:pStyle w:val="ConsPlusNormal"/>
        <w:ind w:firstLine="540"/>
        <w:jc w:val="both"/>
        <w:rPr>
          <w:rFonts w:ascii="Times New Roman" w:hAnsi="Times New Roman" w:cs="Times New Roman"/>
        </w:rPr>
      </w:pPr>
    </w:p>
    <w:p w:rsidR="00974AA2" w:rsidRDefault="00974AA2" w:rsidP="00A03ACC">
      <w:pPr>
        <w:pStyle w:val="ConsPlusNormal"/>
        <w:spacing w:line="276" w:lineRule="auto"/>
        <w:jc w:val="center"/>
        <w:rPr>
          <w:rFonts w:ascii="Times New Roman" w:hAnsi="Times New Roman" w:cs="Times New Roman"/>
          <w:b/>
          <w:bCs/>
          <w:sz w:val="28"/>
          <w:szCs w:val="28"/>
          <w:lang w:eastAsia="en-US"/>
        </w:rPr>
      </w:pPr>
      <w:bookmarkStart w:id="0" w:name="P45"/>
      <w:bookmarkEnd w:id="0"/>
      <w:r w:rsidRPr="004A7D61">
        <w:rPr>
          <w:rFonts w:ascii="Times New Roman" w:hAnsi="Times New Roman" w:cs="Times New Roman"/>
          <w:b/>
          <w:bCs/>
          <w:sz w:val="28"/>
          <w:szCs w:val="28"/>
          <w:lang w:eastAsia="en-US"/>
        </w:rPr>
        <w:t xml:space="preserve">Основные направления </w:t>
      </w:r>
    </w:p>
    <w:p w:rsidR="00974AA2" w:rsidRDefault="00974AA2" w:rsidP="00A03ACC">
      <w:pPr>
        <w:pStyle w:val="ConsPlusNormal"/>
        <w:spacing w:line="276" w:lineRule="auto"/>
        <w:jc w:val="center"/>
        <w:rPr>
          <w:rFonts w:ascii="Times New Roman" w:hAnsi="Times New Roman" w:cs="Times New Roman"/>
          <w:b/>
          <w:bCs/>
          <w:sz w:val="28"/>
          <w:szCs w:val="28"/>
          <w:lang w:eastAsia="en-US"/>
        </w:rPr>
      </w:pPr>
      <w:r w:rsidRPr="004A7D61">
        <w:rPr>
          <w:rFonts w:ascii="Times New Roman" w:hAnsi="Times New Roman" w:cs="Times New Roman"/>
          <w:b/>
          <w:bCs/>
          <w:sz w:val="28"/>
          <w:szCs w:val="28"/>
          <w:lang w:eastAsia="en-US"/>
        </w:rPr>
        <w:t>долговой политики гор</w:t>
      </w:r>
      <w:r>
        <w:rPr>
          <w:rFonts w:ascii="Times New Roman" w:hAnsi="Times New Roman" w:cs="Times New Roman"/>
          <w:b/>
          <w:bCs/>
          <w:sz w:val="28"/>
          <w:szCs w:val="28"/>
          <w:lang w:eastAsia="en-US"/>
        </w:rPr>
        <w:t>одского округа город Бор</w:t>
      </w:r>
    </w:p>
    <w:p w:rsidR="00974AA2" w:rsidRDefault="00974AA2" w:rsidP="00A03ACC">
      <w:pPr>
        <w:pStyle w:val="ConsPlusNormal"/>
        <w:spacing w:line="276"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 на 2023 год и плановый период 2024 и 2025</w:t>
      </w:r>
      <w:r w:rsidRPr="004A7D61">
        <w:rPr>
          <w:rFonts w:ascii="Times New Roman" w:hAnsi="Times New Roman" w:cs="Times New Roman"/>
          <w:b/>
          <w:bCs/>
          <w:sz w:val="28"/>
          <w:szCs w:val="28"/>
          <w:lang w:eastAsia="en-US"/>
        </w:rPr>
        <w:t xml:space="preserve"> годов</w:t>
      </w:r>
    </w:p>
    <w:p w:rsidR="00974AA2" w:rsidRDefault="00974AA2" w:rsidP="00A03ACC">
      <w:pPr>
        <w:pStyle w:val="ConsPlusNormal"/>
        <w:spacing w:line="276" w:lineRule="auto"/>
        <w:jc w:val="center"/>
        <w:rPr>
          <w:rFonts w:ascii="Times New Roman" w:hAnsi="Times New Roman" w:cs="Times New Roman"/>
          <w:b/>
          <w:bCs/>
          <w:sz w:val="28"/>
          <w:szCs w:val="28"/>
          <w:lang w:eastAsia="en-US"/>
        </w:rPr>
      </w:pP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Основные направления долговой политики городского округа город Бор на 2023 год и плановый период 2024 и 2025 годов (далее – долговая политика городского округа город Бор) разработаны в соответствии со статьей 107.1 Бюджетного Кодекса Российской Федерации, с целью определения основных подходов к формированию проекта городского бюджета на 2023 год и плановый период 2024 и 2025 годов.</w:t>
      </w: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Долговая политика городского округа город Бор является составной частью бюджетной политики, которая определяется основными направлениями бюджетной и налоговой политики городского округа город Бор на 2023 год и плановый период 2024 и 2025 годов.</w:t>
      </w: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Долговая политика городского округа город Бор направлена на создание целостной эффективной системы управления муниципальным долгом городского округа город Бор для обеспечения финансирования расходов городского бюджета за счет заемных средств при сохранении объема муниципального долга на экономически безопасном уровне, с учетом минимизации всех возможных рисков, проведения взвешенной долговой политики, реализации мер, направленных на обеспечение безопасного уровня долговой нагрузки на бюджет городского округа город Бор. </w:t>
      </w: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p>
    <w:p w:rsidR="00974AA2" w:rsidRDefault="00974AA2" w:rsidP="00A03ACC">
      <w:pPr>
        <w:pStyle w:val="ConsPlusNormal"/>
        <w:spacing w:line="276" w:lineRule="auto"/>
        <w:ind w:firstLine="708"/>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1. </w:t>
      </w:r>
      <w:r w:rsidRPr="00123E27">
        <w:rPr>
          <w:rFonts w:ascii="Times New Roman" w:hAnsi="Times New Roman" w:cs="Times New Roman"/>
          <w:b/>
          <w:bCs/>
          <w:sz w:val="28"/>
          <w:szCs w:val="28"/>
          <w:lang w:eastAsia="en-US"/>
        </w:rPr>
        <w:t xml:space="preserve">Итоги реализации долговой политики городского </w:t>
      </w:r>
    </w:p>
    <w:p w:rsidR="00974AA2" w:rsidRDefault="00974AA2" w:rsidP="00A03ACC">
      <w:pPr>
        <w:pStyle w:val="ConsPlusNormal"/>
        <w:spacing w:line="276" w:lineRule="auto"/>
        <w:ind w:firstLine="708"/>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округа город Бор в 2021 году</w:t>
      </w: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2021 году долговая политика была ориентирована на решение таких задач, как поддержание объема муниципального долга на экономически безопасном уровне, поддержание равномерного распределения долговой нагрузки на городской бюджет, мобилизация финансовых ресурсов с целью своевременного исполнения принятых долговых обязательств, соблюдение ограничений, установленных Бюджетным кодексом Российской Федерации, нормативными правовыми актами Правительства Российской Федерации, Нижегородской области и Соглашением с министерством финансов Нижегородской области о социально-экономическом развитии и оздоровлении </w:t>
      </w:r>
      <w:r>
        <w:rPr>
          <w:rFonts w:ascii="Times New Roman" w:hAnsi="Times New Roman" w:cs="Times New Roman"/>
          <w:sz w:val="28"/>
          <w:szCs w:val="28"/>
          <w:lang w:eastAsia="en-US"/>
        </w:rPr>
        <w:lastRenderedPageBreak/>
        <w:t>муниципальных финансов бюджета городского округа город Бор.</w:t>
      </w: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Муниципальный долг на по стоянию на 01 января 2021 года составил         </w:t>
      </w:r>
      <w:r w:rsidRPr="007B579D">
        <w:rPr>
          <w:rFonts w:ascii="Times New Roman" w:hAnsi="Times New Roman" w:cs="Times New Roman"/>
          <w:sz w:val="28"/>
          <w:szCs w:val="28"/>
          <w:lang w:eastAsia="en-US"/>
        </w:rPr>
        <w:t>295</w:t>
      </w:r>
      <w:r>
        <w:rPr>
          <w:rFonts w:ascii="Times New Roman" w:hAnsi="Times New Roman" w:cs="Times New Roman"/>
          <w:sz w:val="28"/>
          <w:szCs w:val="28"/>
          <w:lang w:eastAsia="en-US"/>
        </w:rPr>
        <w:t> </w:t>
      </w:r>
      <w:r w:rsidRPr="007B579D">
        <w:rPr>
          <w:rFonts w:ascii="Times New Roman" w:hAnsi="Times New Roman" w:cs="Times New Roman"/>
          <w:sz w:val="28"/>
          <w:szCs w:val="28"/>
          <w:lang w:eastAsia="en-US"/>
        </w:rPr>
        <w:t>000</w:t>
      </w:r>
      <w:r>
        <w:rPr>
          <w:rFonts w:ascii="Times New Roman" w:hAnsi="Times New Roman" w:cs="Times New Roman"/>
          <w:sz w:val="28"/>
          <w:szCs w:val="28"/>
          <w:lang w:eastAsia="en-US"/>
        </w:rPr>
        <w:t xml:space="preserve">,0 тыс. руб., на 01 января 2022 года – </w:t>
      </w:r>
      <w:r w:rsidRPr="007B579D">
        <w:rPr>
          <w:rFonts w:ascii="Times New Roman" w:hAnsi="Times New Roman" w:cs="Times New Roman"/>
          <w:sz w:val="28"/>
          <w:szCs w:val="28"/>
          <w:lang w:eastAsia="en-US"/>
        </w:rPr>
        <w:t>177</w:t>
      </w:r>
      <w:r>
        <w:rPr>
          <w:rFonts w:ascii="Times New Roman" w:hAnsi="Times New Roman" w:cs="Times New Roman"/>
          <w:sz w:val="28"/>
          <w:szCs w:val="28"/>
          <w:lang w:eastAsia="en-US"/>
        </w:rPr>
        <w:t> </w:t>
      </w:r>
      <w:r w:rsidRPr="007B579D">
        <w:rPr>
          <w:rFonts w:ascii="Times New Roman" w:hAnsi="Times New Roman" w:cs="Times New Roman"/>
          <w:sz w:val="28"/>
          <w:szCs w:val="28"/>
          <w:lang w:eastAsia="en-US"/>
        </w:rPr>
        <w:t>000</w:t>
      </w:r>
      <w:r>
        <w:rPr>
          <w:rFonts w:ascii="Times New Roman" w:hAnsi="Times New Roman" w:cs="Times New Roman"/>
          <w:sz w:val="28"/>
          <w:szCs w:val="28"/>
          <w:lang w:eastAsia="en-US"/>
        </w:rPr>
        <w:t>,0 тыс</w:t>
      </w:r>
      <w:r w:rsidRPr="004B2D4F">
        <w:rPr>
          <w:rFonts w:ascii="Times New Roman" w:hAnsi="Times New Roman" w:cs="Times New Roman"/>
          <w:sz w:val="28"/>
          <w:szCs w:val="28"/>
          <w:lang w:eastAsia="en-US"/>
        </w:rPr>
        <w:t>. руб</w:t>
      </w:r>
      <w:r>
        <w:rPr>
          <w:rFonts w:ascii="Times New Roman" w:hAnsi="Times New Roman" w:cs="Times New Roman"/>
          <w:sz w:val="28"/>
          <w:szCs w:val="28"/>
          <w:lang w:eastAsia="en-US"/>
        </w:rPr>
        <w:t>. Уровень муниципального долга городского округа и уровень долговой нагрузки в 2021 году и по состоянию на 01 октября 2022 года находились в пределах ограничений, установленных Бюджетным кодексом Российской Федерации.</w:t>
      </w: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В соответствии с постановлением Правительства Нижегородской области от 07 июля 2020 года № 560 «Об утверждении Правил проведения оценки долговой устойчивости муниципальных образований Нижегородской области» министерством финансов Нижегородской области ежегодно проводится оценка долговой устойчивости муниципальных образований Нижегородской области.</w:t>
      </w:r>
    </w:p>
    <w:p w:rsidR="00974AA2" w:rsidRDefault="00974AA2" w:rsidP="00A03ACC">
      <w:pPr>
        <w:pStyle w:val="ConsPlusNormal"/>
        <w:spacing w:line="27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 основе фактических данных по итогам 2021 года и плановых бюджетных показателей 2022 года, в соответствии с приказом министерства финансов Нижегородской области от </w:t>
      </w:r>
      <w:r w:rsidRPr="00226428">
        <w:rPr>
          <w:rFonts w:ascii="Times New Roman" w:hAnsi="Times New Roman" w:cs="Times New Roman"/>
          <w:sz w:val="28"/>
          <w:szCs w:val="28"/>
          <w:lang w:eastAsia="en-US"/>
        </w:rPr>
        <w:t>27 сентября 2022 года № 166</w:t>
      </w:r>
      <w:r>
        <w:rPr>
          <w:rFonts w:ascii="Times New Roman" w:hAnsi="Times New Roman" w:cs="Times New Roman"/>
          <w:sz w:val="28"/>
          <w:szCs w:val="28"/>
          <w:lang w:eastAsia="en-US"/>
        </w:rPr>
        <w:t xml:space="preserve"> «О классификации муниципальных образований Нижегородской области по группам долговой устойчивости» городской округ г. Бор отнесен к группе муниципальных образований с высоким уровнем долговой устойчивости.</w:t>
      </w:r>
    </w:p>
    <w:p w:rsidR="00974AA2" w:rsidRDefault="00974AA2" w:rsidP="00A03ACC">
      <w:pPr>
        <w:pStyle w:val="ConsPlusNormal"/>
        <w:spacing w:line="276" w:lineRule="auto"/>
        <w:rPr>
          <w:rFonts w:ascii="Times New Roman" w:hAnsi="Times New Roman" w:cs="Times New Roman"/>
          <w:b/>
          <w:bCs/>
          <w:sz w:val="28"/>
          <w:szCs w:val="28"/>
        </w:rPr>
      </w:pPr>
    </w:p>
    <w:p w:rsidR="00974AA2" w:rsidRDefault="00974AA2" w:rsidP="00A03ACC">
      <w:pPr>
        <w:pStyle w:val="ConsPlusNormal"/>
        <w:spacing w:line="276" w:lineRule="auto"/>
        <w:jc w:val="center"/>
        <w:rPr>
          <w:rFonts w:ascii="Times New Roman" w:hAnsi="Times New Roman" w:cs="Times New Roman"/>
          <w:b/>
          <w:bCs/>
          <w:sz w:val="28"/>
          <w:szCs w:val="28"/>
        </w:rPr>
      </w:pPr>
      <w:r w:rsidRPr="00E53107">
        <w:rPr>
          <w:rFonts w:ascii="Times New Roman" w:hAnsi="Times New Roman" w:cs="Times New Roman"/>
          <w:b/>
          <w:bCs/>
          <w:sz w:val="28"/>
          <w:szCs w:val="28"/>
        </w:rPr>
        <w:t>Муниципальный</w:t>
      </w:r>
      <w:r>
        <w:rPr>
          <w:rFonts w:ascii="Times New Roman" w:hAnsi="Times New Roman" w:cs="Times New Roman"/>
          <w:b/>
          <w:bCs/>
          <w:sz w:val="28"/>
          <w:szCs w:val="28"/>
        </w:rPr>
        <w:t xml:space="preserve"> внутренний долг городского округа город Бор</w:t>
      </w:r>
    </w:p>
    <w:p w:rsidR="00974AA2" w:rsidRPr="00E53107" w:rsidRDefault="00974AA2" w:rsidP="00A03ACC">
      <w:pPr>
        <w:pStyle w:val="ConsPlusNormal"/>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по состоянию на 1 января 2022 года</w:t>
      </w:r>
    </w:p>
    <w:p w:rsidR="00974AA2" w:rsidRPr="00E53107" w:rsidRDefault="00974AA2" w:rsidP="00735951">
      <w:pPr>
        <w:pStyle w:val="ConsPlusNormal"/>
        <w:spacing w:line="180" w:lineRule="auto"/>
        <w:jc w:val="right"/>
        <w:rPr>
          <w:rFonts w:ascii="Times New Roman" w:hAnsi="Times New Roman" w:cs="Times New Roman"/>
          <w:sz w:val="18"/>
          <w:szCs w:val="18"/>
        </w:rPr>
      </w:pPr>
      <w:r w:rsidRPr="00E5310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B579D">
        <w:rPr>
          <w:rFonts w:ascii="Times New Roman" w:hAnsi="Times New Roman" w:cs="Times New Roman"/>
          <w:sz w:val="18"/>
          <w:szCs w:val="18"/>
        </w:rPr>
        <w:t>(тыс.</w:t>
      </w:r>
      <w:r>
        <w:rPr>
          <w:rFonts w:ascii="Times New Roman" w:hAnsi="Times New Roman" w:cs="Times New Roman"/>
          <w:sz w:val="18"/>
          <w:szCs w:val="18"/>
        </w:rPr>
        <w:t xml:space="preserve"> руб.</w:t>
      </w:r>
      <w:r w:rsidRPr="007B579D">
        <w:rPr>
          <w:rFonts w:ascii="Times New Roman" w:hAnsi="Times New Roman" w:cs="Times New Roman"/>
          <w:sz w:val="18"/>
          <w:szCs w:val="18"/>
        </w:rPr>
        <w:t>)</w:t>
      </w:r>
    </w:p>
    <w:p w:rsidR="00974AA2" w:rsidRPr="00E53107" w:rsidRDefault="00974AA2" w:rsidP="00735951">
      <w:pPr>
        <w:pStyle w:val="ConsPlusNormal"/>
        <w:spacing w:line="180" w:lineRule="auto"/>
        <w:jc w:val="both"/>
        <w:rPr>
          <w:rFonts w:ascii="Times New Roman" w:hAnsi="Times New Roman" w:cs="Times New Roman"/>
          <w:sz w:val="18"/>
          <w:szCs w:val="18"/>
        </w:rPr>
      </w:pPr>
    </w:p>
    <w:tbl>
      <w:tblPr>
        <w:tblW w:w="9639" w:type="dxa"/>
        <w:jc w:val="center"/>
        <w:tblLayout w:type="fixed"/>
        <w:tblLook w:val="0000"/>
      </w:tblPr>
      <w:tblGrid>
        <w:gridCol w:w="1691"/>
        <w:gridCol w:w="1134"/>
        <w:gridCol w:w="1134"/>
        <w:gridCol w:w="1134"/>
        <w:gridCol w:w="719"/>
        <w:gridCol w:w="1134"/>
        <w:gridCol w:w="1408"/>
        <w:gridCol w:w="1285"/>
      </w:tblGrid>
      <w:tr w:rsidR="00974AA2" w:rsidRPr="00E53107">
        <w:trPr>
          <w:trHeight w:val="1005"/>
          <w:jc w:val="center"/>
        </w:trPr>
        <w:tc>
          <w:tcPr>
            <w:tcW w:w="1691" w:type="dxa"/>
            <w:vMerge w:val="restart"/>
            <w:tcBorders>
              <w:top w:val="single" w:sz="8" w:space="0" w:color="auto"/>
              <w:left w:val="single" w:sz="8" w:space="0" w:color="auto"/>
              <w:bottom w:val="single" w:sz="8" w:space="0" w:color="000000"/>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Долговые обязательства</w:t>
            </w:r>
          </w:p>
        </w:tc>
        <w:tc>
          <w:tcPr>
            <w:tcW w:w="1134" w:type="dxa"/>
            <w:vMerge w:val="restart"/>
            <w:tcBorders>
              <w:top w:val="single" w:sz="8" w:space="0" w:color="auto"/>
              <w:left w:val="single" w:sz="8" w:space="0" w:color="auto"/>
              <w:bottom w:val="single" w:sz="8" w:space="0" w:color="000000"/>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Долг на 01.01.2021</w:t>
            </w:r>
          </w:p>
        </w:tc>
        <w:tc>
          <w:tcPr>
            <w:tcW w:w="1134" w:type="dxa"/>
            <w:tcBorders>
              <w:top w:val="single" w:sz="8" w:space="0" w:color="auto"/>
              <w:left w:val="nil"/>
              <w:bottom w:val="single" w:sz="8" w:space="0" w:color="auto"/>
              <w:right w:val="single" w:sz="8" w:space="0" w:color="000000"/>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Привлечено</w:t>
            </w:r>
          </w:p>
        </w:tc>
        <w:tc>
          <w:tcPr>
            <w:tcW w:w="1134" w:type="dxa"/>
            <w:tcBorders>
              <w:top w:val="single" w:sz="8" w:space="0" w:color="auto"/>
              <w:left w:val="nil"/>
              <w:bottom w:val="single" w:sz="8" w:space="0" w:color="auto"/>
              <w:right w:val="single" w:sz="8" w:space="0" w:color="000000"/>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Погашено</w:t>
            </w:r>
          </w:p>
        </w:tc>
        <w:tc>
          <w:tcPr>
            <w:tcW w:w="719" w:type="dxa"/>
            <w:tcBorders>
              <w:top w:val="single" w:sz="8" w:space="0" w:color="auto"/>
              <w:left w:val="nil"/>
              <w:bottom w:val="single" w:sz="8" w:space="0" w:color="000000"/>
              <w:right w:val="single" w:sz="8" w:space="0" w:color="000000"/>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Списано в текущем году</w:t>
            </w:r>
          </w:p>
        </w:tc>
        <w:tc>
          <w:tcPr>
            <w:tcW w:w="1134" w:type="dxa"/>
            <w:tcBorders>
              <w:top w:val="single" w:sz="8" w:space="0" w:color="auto"/>
              <w:left w:val="single" w:sz="8" w:space="0" w:color="auto"/>
              <w:bottom w:val="single" w:sz="8" w:space="0" w:color="000000"/>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Долг на 01.01.2022</w:t>
            </w:r>
          </w:p>
        </w:tc>
        <w:tc>
          <w:tcPr>
            <w:tcW w:w="2693" w:type="dxa"/>
            <w:gridSpan w:val="2"/>
            <w:tcBorders>
              <w:top w:val="single" w:sz="8" w:space="0" w:color="auto"/>
              <w:left w:val="nil"/>
              <w:bottom w:val="single" w:sz="8" w:space="0" w:color="auto"/>
              <w:right w:val="single" w:sz="8" w:space="0" w:color="000000"/>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Обслуживание за счет средств бюджета городского округа город Бор с нарастающим итогом с начала года</w:t>
            </w:r>
          </w:p>
        </w:tc>
      </w:tr>
      <w:tr w:rsidR="00974AA2" w:rsidRPr="00E53107">
        <w:trPr>
          <w:trHeight w:val="193"/>
          <w:jc w:val="center"/>
        </w:trPr>
        <w:tc>
          <w:tcPr>
            <w:tcW w:w="1691" w:type="dxa"/>
            <w:vMerge/>
            <w:tcBorders>
              <w:top w:val="single" w:sz="8" w:space="0" w:color="auto"/>
              <w:left w:val="single" w:sz="8" w:space="0" w:color="auto"/>
              <w:bottom w:val="single" w:sz="8" w:space="0" w:color="000000"/>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p>
        </w:tc>
        <w:tc>
          <w:tcPr>
            <w:tcW w:w="2268" w:type="dxa"/>
            <w:gridSpan w:val="2"/>
            <w:tcBorders>
              <w:top w:val="single" w:sz="8" w:space="0" w:color="auto"/>
              <w:left w:val="nil"/>
              <w:bottom w:val="nil"/>
              <w:right w:val="single" w:sz="8" w:space="0" w:color="000000"/>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Нарастающим итогом с начала года по текущему курсу</w:t>
            </w:r>
          </w:p>
        </w:tc>
        <w:tc>
          <w:tcPr>
            <w:tcW w:w="719" w:type="dxa"/>
            <w:tcBorders>
              <w:top w:val="single" w:sz="8" w:space="0" w:color="auto"/>
              <w:left w:val="nil"/>
              <w:bottom w:val="single" w:sz="8" w:space="0" w:color="000000"/>
              <w:right w:val="single" w:sz="8" w:space="0" w:color="000000"/>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p>
        </w:tc>
        <w:tc>
          <w:tcPr>
            <w:tcW w:w="1134" w:type="dxa"/>
            <w:tcBorders>
              <w:top w:val="single" w:sz="8" w:space="0" w:color="auto"/>
              <w:left w:val="single" w:sz="8" w:space="0" w:color="auto"/>
              <w:bottom w:val="single" w:sz="8" w:space="0" w:color="000000"/>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p>
        </w:tc>
        <w:tc>
          <w:tcPr>
            <w:tcW w:w="1408" w:type="dxa"/>
            <w:tcBorders>
              <w:top w:val="nil"/>
              <w:left w:val="nil"/>
              <w:bottom w:val="nil"/>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Проценты</w:t>
            </w:r>
          </w:p>
        </w:tc>
        <w:tc>
          <w:tcPr>
            <w:tcW w:w="1285" w:type="dxa"/>
            <w:tcBorders>
              <w:top w:val="nil"/>
              <w:left w:val="nil"/>
              <w:bottom w:val="nil"/>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Прочие</w:t>
            </w:r>
          </w:p>
        </w:tc>
      </w:tr>
      <w:tr w:rsidR="00974AA2" w:rsidRPr="00E53107">
        <w:trPr>
          <w:trHeight w:val="270"/>
          <w:jc w:val="center"/>
        </w:trPr>
        <w:tc>
          <w:tcPr>
            <w:tcW w:w="1691" w:type="dxa"/>
            <w:tcBorders>
              <w:top w:val="nil"/>
              <w:left w:val="single" w:sz="8" w:space="0" w:color="auto"/>
              <w:bottom w:val="single" w:sz="8" w:space="0" w:color="auto"/>
              <w:right w:val="single" w:sz="8" w:space="0" w:color="auto"/>
            </w:tcBorders>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1</w:t>
            </w:r>
          </w:p>
        </w:tc>
        <w:tc>
          <w:tcPr>
            <w:tcW w:w="1134" w:type="dxa"/>
            <w:tcBorders>
              <w:top w:val="nil"/>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2</w:t>
            </w:r>
          </w:p>
        </w:tc>
        <w:tc>
          <w:tcPr>
            <w:tcW w:w="1134"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3</w:t>
            </w:r>
          </w:p>
        </w:tc>
        <w:tc>
          <w:tcPr>
            <w:tcW w:w="1134"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4</w:t>
            </w:r>
          </w:p>
        </w:tc>
        <w:tc>
          <w:tcPr>
            <w:tcW w:w="719"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5</w:t>
            </w:r>
          </w:p>
        </w:tc>
        <w:tc>
          <w:tcPr>
            <w:tcW w:w="1134" w:type="dxa"/>
            <w:tcBorders>
              <w:top w:val="nil"/>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6</w:t>
            </w:r>
          </w:p>
        </w:tc>
        <w:tc>
          <w:tcPr>
            <w:tcW w:w="1408" w:type="dxa"/>
            <w:tcBorders>
              <w:top w:val="single" w:sz="8"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7</w:t>
            </w:r>
          </w:p>
        </w:tc>
        <w:tc>
          <w:tcPr>
            <w:tcW w:w="1285" w:type="dxa"/>
            <w:tcBorders>
              <w:top w:val="single" w:sz="8"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8</w:t>
            </w:r>
          </w:p>
        </w:tc>
      </w:tr>
      <w:tr w:rsidR="00974AA2" w:rsidRPr="00E53107">
        <w:trPr>
          <w:trHeight w:val="183"/>
          <w:jc w:val="center"/>
        </w:trPr>
        <w:tc>
          <w:tcPr>
            <w:tcW w:w="9639" w:type="dxa"/>
            <w:gridSpan w:val="8"/>
            <w:tcBorders>
              <w:top w:val="single" w:sz="8" w:space="0" w:color="auto"/>
              <w:left w:val="single" w:sz="8" w:space="0" w:color="auto"/>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Муниципальный  долг</w:t>
            </w:r>
          </w:p>
        </w:tc>
      </w:tr>
      <w:tr w:rsidR="00974AA2" w:rsidRPr="00E53107">
        <w:trPr>
          <w:trHeight w:val="1349"/>
          <w:jc w:val="center"/>
        </w:trPr>
        <w:tc>
          <w:tcPr>
            <w:tcW w:w="1691" w:type="dxa"/>
            <w:tcBorders>
              <w:top w:val="nil"/>
              <w:left w:val="single" w:sz="8" w:space="0" w:color="auto"/>
              <w:bottom w:val="single" w:sz="8" w:space="0" w:color="auto"/>
              <w:right w:val="single" w:sz="8" w:space="0" w:color="auto"/>
            </w:tcBorders>
            <w:vAlign w:val="center"/>
          </w:tcPr>
          <w:p w:rsidR="00974AA2" w:rsidRPr="00E53107" w:rsidRDefault="00974AA2" w:rsidP="00CB797E">
            <w:pPr>
              <w:pStyle w:val="ConsPlusNormal"/>
              <w:spacing w:line="276" w:lineRule="auto"/>
              <w:jc w:val="both"/>
              <w:rPr>
                <w:rFonts w:ascii="Times New Roman" w:hAnsi="Times New Roman" w:cs="Times New Roman"/>
                <w:sz w:val="18"/>
                <w:szCs w:val="18"/>
              </w:rPr>
            </w:pPr>
            <w:r>
              <w:rPr>
                <w:rFonts w:ascii="Times New Roman" w:hAnsi="Times New Roman" w:cs="Times New Roman"/>
                <w:sz w:val="18"/>
                <w:szCs w:val="18"/>
              </w:rPr>
              <w:t>1.</w:t>
            </w:r>
            <w:r w:rsidRPr="00E53107">
              <w:rPr>
                <w:rFonts w:ascii="Times New Roman" w:hAnsi="Times New Roman" w:cs="Times New Roman"/>
                <w:sz w:val="18"/>
                <w:szCs w:val="18"/>
              </w:rPr>
              <w:t>Кредиты коммерческих банков и иных кредитных организаций</w:t>
            </w:r>
          </w:p>
        </w:tc>
        <w:tc>
          <w:tcPr>
            <w:tcW w:w="1134" w:type="dxa"/>
            <w:tcBorders>
              <w:top w:val="nil"/>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275 000,0</w:t>
            </w:r>
          </w:p>
        </w:tc>
        <w:tc>
          <w:tcPr>
            <w:tcW w:w="1134"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242 000,0</w:t>
            </w:r>
          </w:p>
        </w:tc>
        <w:tc>
          <w:tcPr>
            <w:tcW w:w="1134"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340 000,0</w:t>
            </w:r>
          </w:p>
        </w:tc>
        <w:tc>
          <w:tcPr>
            <w:tcW w:w="719"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nil"/>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177 000,0</w:t>
            </w:r>
          </w:p>
        </w:tc>
        <w:tc>
          <w:tcPr>
            <w:tcW w:w="1408" w:type="dxa"/>
            <w:tcBorders>
              <w:top w:val="nil"/>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8</w:t>
            </w:r>
            <w:r>
              <w:rPr>
                <w:rFonts w:ascii="Times New Roman" w:hAnsi="Times New Roman" w:cs="Times New Roman"/>
                <w:sz w:val="18"/>
                <w:szCs w:val="18"/>
              </w:rPr>
              <w:t> </w:t>
            </w:r>
            <w:r w:rsidRPr="00E53107">
              <w:rPr>
                <w:rFonts w:ascii="Times New Roman" w:hAnsi="Times New Roman" w:cs="Times New Roman"/>
                <w:sz w:val="18"/>
                <w:szCs w:val="18"/>
              </w:rPr>
              <w:t>314</w:t>
            </w:r>
            <w:r>
              <w:rPr>
                <w:rFonts w:ascii="Times New Roman" w:hAnsi="Times New Roman" w:cs="Times New Roman"/>
                <w:sz w:val="18"/>
                <w:szCs w:val="18"/>
              </w:rPr>
              <w:t>,7</w:t>
            </w:r>
          </w:p>
        </w:tc>
        <w:tc>
          <w:tcPr>
            <w:tcW w:w="1285" w:type="dxa"/>
            <w:tcBorders>
              <w:top w:val="nil"/>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r>
      <w:tr w:rsidR="00974AA2" w:rsidRPr="00E53107">
        <w:trPr>
          <w:trHeight w:val="360"/>
          <w:jc w:val="center"/>
        </w:trPr>
        <w:tc>
          <w:tcPr>
            <w:tcW w:w="1691" w:type="dxa"/>
            <w:tcBorders>
              <w:top w:val="nil"/>
              <w:left w:val="single" w:sz="8" w:space="0" w:color="auto"/>
              <w:bottom w:val="single" w:sz="4" w:space="0" w:color="auto"/>
              <w:right w:val="single" w:sz="8" w:space="0" w:color="auto"/>
            </w:tcBorders>
            <w:vAlign w:val="center"/>
          </w:tcPr>
          <w:p w:rsidR="00974AA2" w:rsidRPr="00E53107" w:rsidRDefault="00974AA2" w:rsidP="00CB797E">
            <w:pPr>
              <w:pStyle w:val="ConsPlusNormal"/>
              <w:spacing w:line="276" w:lineRule="auto"/>
              <w:jc w:val="both"/>
              <w:rPr>
                <w:rFonts w:ascii="Times New Roman" w:hAnsi="Times New Roman" w:cs="Times New Roman"/>
                <w:sz w:val="18"/>
                <w:szCs w:val="18"/>
              </w:rPr>
            </w:pPr>
            <w:r>
              <w:rPr>
                <w:rFonts w:ascii="Times New Roman" w:hAnsi="Times New Roman" w:cs="Times New Roman"/>
                <w:sz w:val="18"/>
                <w:szCs w:val="18"/>
              </w:rPr>
              <w:t>2.</w:t>
            </w:r>
            <w:r w:rsidRPr="00E53107">
              <w:rPr>
                <w:rFonts w:ascii="Times New Roman" w:hAnsi="Times New Roman" w:cs="Times New Roman"/>
                <w:sz w:val="18"/>
                <w:szCs w:val="18"/>
              </w:rPr>
              <w:t>Бюджетные  кредиты</w:t>
            </w:r>
          </w:p>
        </w:tc>
        <w:tc>
          <w:tcPr>
            <w:tcW w:w="1134" w:type="dxa"/>
            <w:tcBorders>
              <w:top w:val="nil"/>
              <w:left w:val="nil"/>
              <w:bottom w:val="single" w:sz="4"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20 000,0</w:t>
            </w:r>
          </w:p>
        </w:tc>
        <w:tc>
          <w:tcPr>
            <w:tcW w:w="1134" w:type="dxa"/>
            <w:tcBorders>
              <w:top w:val="single" w:sz="8" w:space="0" w:color="auto"/>
              <w:left w:val="nil"/>
              <w:bottom w:val="single" w:sz="4"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8" w:space="0" w:color="auto"/>
              <w:left w:val="nil"/>
              <w:bottom w:val="single" w:sz="4"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20 000,0</w:t>
            </w:r>
          </w:p>
        </w:tc>
        <w:tc>
          <w:tcPr>
            <w:tcW w:w="719" w:type="dxa"/>
            <w:tcBorders>
              <w:top w:val="single" w:sz="8" w:space="0" w:color="auto"/>
              <w:left w:val="nil"/>
              <w:bottom w:val="single" w:sz="4"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nil"/>
              <w:left w:val="nil"/>
              <w:bottom w:val="single" w:sz="4"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408" w:type="dxa"/>
            <w:tcBorders>
              <w:top w:val="nil"/>
              <w:left w:val="nil"/>
              <w:bottom w:val="single" w:sz="4"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1</w:t>
            </w:r>
            <w:r>
              <w:rPr>
                <w:rFonts w:ascii="Times New Roman" w:hAnsi="Times New Roman" w:cs="Times New Roman"/>
                <w:sz w:val="18"/>
                <w:szCs w:val="18"/>
              </w:rPr>
              <w:t>,7</w:t>
            </w:r>
          </w:p>
        </w:tc>
        <w:tc>
          <w:tcPr>
            <w:tcW w:w="1285" w:type="dxa"/>
            <w:tcBorders>
              <w:top w:val="nil"/>
              <w:left w:val="nil"/>
              <w:bottom w:val="single" w:sz="4"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r>
      <w:tr w:rsidR="00974AA2" w:rsidRPr="00E53107">
        <w:trPr>
          <w:trHeight w:val="390"/>
          <w:jc w:val="center"/>
        </w:trPr>
        <w:tc>
          <w:tcPr>
            <w:tcW w:w="1691" w:type="dxa"/>
            <w:tcBorders>
              <w:top w:val="single" w:sz="4" w:space="0" w:color="auto"/>
              <w:left w:val="single" w:sz="8" w:space="0" w:color="auto"/>
              <w:bottom w:val="single" w:sz="4" w:space="0" w:color="auto"/>
              <w:right w:val="single" w:sz="8" w:space="0" w:color="auto"/>
            </w:tcBorders>
            <w:vAlign w:val="center"/>
          </w:tcPr>
          <w:p w:rsidR="00974AA2" w:rsidRPr="00E53107" w:rsidRDefault="00974AA2" w:rsidP="00CB797E">
            <w:pPr>
              <w:pStyle w:val="ConsPlusNormal"/>
              <w:spacing w:line="276" w:lineRule="auto"/>
              <w:jc w:val="both"/>
              <w:rPr>
                <w:rFonts w:ascii="Times New Roman" w:hAnsi="Times New Roman" w:cs="Times New Roman"/>
                <w:sz w:val="18"/>
                <w:szCs w:val="18"/>
              </w:rPr>
            </w:pPr>
            <w:r>
              <w:rPr>
                <w:rFonts w:ascii="Times New Roman" w:hAnsi="Times New Roman" w:cs="Times New Roman"/>
                <w:sz w:val="18"/>
                <w:szCs w:val="18"/>
              </w:rPr>
              <w:t>3.</w:t>
            </w:r>
            <w:r w:rsidRPr="00E53107">
              <w:rPr>
                <w:rFonts w:ascii="Times New Roman" w:hAnsi="Times New Roman" w:cs="Times New Roman"/>
                <w:sz w:val="18"/>
                <w:szCs w:val="18"/>
              </w:rPr>
              <w:t>Муниципальные ценные бумаги</w:t>
            </w:r>
          </w:p>
        </w:tc>
        <w:tc>
          <w:tcPr>
            <w:tcW w:w="1134" w:type="dxa"/>
            <w:tcBorders>
              <w:top w:val="single" w:sz="4" w:space="0" w:color="auto"/>
              <w:left w:val="nil"/>
              <w:bottom w:val="single" w:sz="4"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719" w:type="dxa"/>
            <w:tcBorders>
              <w:top w:val="single" w:sz="4" w:space="0" w:color="auto"/>
              <w:left w:val="nil"/>
              <w:bottom w:val="single" w:sz="4"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408" w:type="dxa"/>
            <w:tcBorders>
              <w:top w:val="single" w:sz="4" w:space="0" w:color="auto"/>
              <w:left w:val="nil"/>
              <w:bottom w:val="single" w:sz="4"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285" w:type="dxa"/>
            <w:tcBorders>
              <w:top w:val="single" w:sz="4" w:space="0" w:color="auto"/>
              <w:left w:val="nil"/>
              <w:bottom w:val="single" w:sz="4"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r>
      <w:tr w:rsidR="00974AA2" w:rsidRPr="00E53107">
        <w:trPr>
          <w:trHeight w:val="473"/>
          <w:jc w:val="center"/>
        </w:trPr>
        <w:tc>
          <w:tcPr>
            <w:tcW w:w="1691" w:type="dxa"/>
            <w:tcBorders>
              <w:top w:val="single" w:sz="4" w:space="0" w:color="auto"/>
              <w:left w:val="single" w:sz="8" w:space="0" w:color="auto"/>
              <w:bottom w:val="single" w:sz="8" w:space="0" w:color="auto"/>
              <w:right w:val="single" w:sz="8" w:space="0" w:color="auto"/>
            </w:tcBorders>
            <w:vAlign w:val="center"/>
          </w:tcPr>
          <w:p w:rsidR="00974AA2" w:rsidRPr="00E53107" w:rsidRDefault="00974AA2" w:rsidP="00CB797E">
            <w:pPr>
              <w:pStyle w:val="ConsPlusNormal"/>
              <w:spacing w:line="276" w:lineRule="auto"/>
              <w:jc w:val="both"/>
              <w:rPr>
                <w:rFonts w:ascii="Times New Roman" w:hAnsi="Times New Roman" w:cs="Times New Roman"/>
                <w:sz w:val="18"/>
                <w:szCs w:val="18"/>
              </w:rPr>
            </w:pPr>
            <w:r>
              <w:rPr>
                <w:rFonts w:ascii="Times New Roman" w:hAnsi="Times New Roman" w:cs="Times New Roman"/>
                <w:sz w:val="18"/>
                <w:szCs w:val="18"/>
              </w:rPr>
              <w:t>4.</w:t>
            </w:r>
            <w:r w:rsidRPr="00E53107">
              <w:rPr>
                <w:rFonts w:ascii="Times New Roman" w:hAnsi="Times New Roman" w:cs="Times New Roman"/>
                <w:sz w:val="18"/>
                <w:szCs w:val="18"/>
              </w:rPr>
              <w:t>Муниципальные гарантии</w:t>
            </w:r>
          </w:p>
        </w:tc>
        <w:tc>
          <w:tcPr>
            <w:tcW w:w="1134" w:type="dxa"/>
            <w:tcBorders>
              <w:top w:val="single" w:sz="4"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single" w:sz="4"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single" w:sz="4"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719" w:type="dxa"/>
            <w:tcBorders>
              <w:top w:val="single" w:sz="4"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single" w:sz="4"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408" w:type="dxa"/>
            <w:tcBorders>
              <w:top w:val="single" w:sz="4"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285" w:type="dxa"/>
            <w:tcBorders>
              <w:top w:val="single" w:sz="4"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r>
      <w:tr w:rsidR="00974AA2" w:rsidRPr="00E53107">
        <w:trPr>
          <w:trHeight w:val="704"/>
          <w:jc w:val="center"/>
        </w:trPr>
        <w:tc>
          <w:tcPr>
            <w:tcW w:w="1691" w:type="dxa"/>
            <w:tcBorders>
              <w:top w:val="single" w:sz="8" w:space="0" w:color="auto"/>
              <w:left w:val="single" w:sz="8" w:space="0" w:color="auto"/>
              <w:bottom w:val="single" w:sz="8" w:space="0" w:color="auto"/>
              <w:right w:val="single" w:sz="8" w:space="0" w:color="auto"/>
            </w:tcBorders>
            <w:vAlign w:val="center"/>
          </w:tcPr>
          <w:p w:rsidR="00974AA2" w:rsidRPr="00E53107" w:rsidRDefault="00974AA2" w:rsidP="00CB797E">
            <w:pPr>
              <w:pStyle w:val="ConsPlusNormal"/>
              <w:spacing w:line="276" w:lineRule="auto"/>
              <w:jc w:val="both"/>
              <w:rPr>
                <w:rFonts w:ascii="Times New Roman" w:hAnsi="Times New Roman" w:cs="Times New Roman"/>
                <w:sz w:val="18"/>
                <w:szCs w:val="18"/>
              </w:rPr>
            </w:pPr>
            <w:r w:rsidRPr="00E53107">
              <w:rPr>
                <w:rFonts w:ascii="Times New Roman" w:hAnsi="Times New Roman" w:cs="Times New Roman"/>
                <w:sz w:val="18"/>
                <w:szCs w:val="18"/>
              </w:rPr>
              <w:t>Итого муниципальный долг</w:t>
            </w:r>
          </w:p>
        </w:tc>
        <w:tc>
          <w:tcPr>
            <w:tcW w:w="1134" w:type="dxa"/>
            <w:tcBorders>
              <w:top w:val="single" w:sz="8"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295 000,0</w:t>
            </w:r>
          </w:p>
        </w:tc>
        <w:tc>
          <w:tcPr>
            <w:tcW w:w="1134"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242 000,0</w:t>
            </w:r>
          </w:p>
        </w:tc>
        <w:tc>
          <w:tcPr>
            <w:tcW w:w="1134"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360 000,0</w:t>
            </w:r>
          </w:p>
        </w:tc>
        <w:tc>
          <w:tcPr>
            <w:tcW w:w="719" w:type="dxa"/>
            <w:tcBorders>
              <w:top w:val="single" w:sz="8" w:space="0" w:color="auto"/>
              <w:left w:val="nil"/>
              <w:bottom w:val="single" w:sz="8" w:space="0" w:color="auto"/>
              <w:right w:val="single" w:sz="8" w:space="0" w:color="000000"/>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c>
          <w:tcPr>
            <w:tcW w:w="1134" w:type="dxa"/>
            <w:tcBorders>
              <w:top w:val="single" w:sz="8"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177 000,0</w:t>
            </w:r>
          </w:p>
        </w:tc>
        <w:tc>
          <w:tcPr>
            <w:tcW w:w="1408" w:type="dxa"/>
            <w:tcBorders>
              <w:top w:val="single" w:sz="8"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Pr>
                <w:rFonts w:ascii="Times New Roman" w:hAnsi="Times New Roman" w:cs="Times New Roman"/>
                <w:sz w:val="18"/>
                <w:szCs w:val="18"/>
              </w:rPr>
              <w:t>8 316,4</w:t>
            </w:r>
          </w:p>
        </w:tc>
        <w:tc>
          <w:tcPr>
            <w:tcW w:w="1285" w:type="dxa"/>
            <w:tcBorders>
              <w:top w:val="single" w:sz="8" w:space="0" w:color="auto"/>
              <w:left w:val="nil"/>
              <w:bottom w:val="single" w:sz="8" w:space="0" w:color="auto"/>
              <w:right w:val="single" w:sz="8" w:space="0" w:color="auto"/>
            </w:tcBorders>
            <w:noWrap/>
            <w:vAlign w:val="center"/>
          </w:tcPr>
          <w:p w:rsidR="00974AA2" w:rsidRPr="00E53107" w:rsidRDefault="00974AA2" w:rsidP="00906A71">
            <w:pPr>
              <w:pStyle w:val="ConsPlusNormal"/>
              <w:spacing w:line="276" w:lineRule="auto"/>
              <w:jc w:val="center"/>
              <w:rPr>
                <w:rFonts w:ascii="Times New Roman" w:hAnsi="Times New Roman" w:cs="Times New Roman"/>
                <w:sz w:val="18"/>
                <w:szCs w:val="18"/>
              </w:rPr>
            </w:pPr>
            <w:r w:rsidRPr="00E53107">
              <w:rPr>
                <w:rFonts w:ascii="Times New Roman" w:hAnsi="Times New Roman" w:cs="Times New Roman"/>
                <w:sz w:val="18"/>
                <w:szCs w:val="18"/>
              </w:rPr>
              <w:t>-</w:t>
            </w:r>
          </w:p>
        </w:tc>
      </w:tr>
    </w:tbl>
    <w:p w:rsidR="00974AA2" w:rsidRDefault="00974AA2" w:rsidP="002F26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Верхний предел муниципального долга на 1 января 2023 года запланирован в объеме </w:t>
      </w:r>
      <w:r w:rsidRPr="007B579D">
        <w:rPr>
          <w:rFonts w:ascii="Times New Roman" w:hAnsi="Times New Roman" w:cs="Times New Roman"/>
          <w:sz w:val="28"/>
          <w:szCs w:val="28"/>
        </w:rPr>
        <w:t>244 030,8</w:t>
      </w:r>
      <w:r>
        <w:rPr>
          <w:rFonts w:ascii="Times New Roman" w:hAnsi="Times New Roman" w:cs="Times New Roman"/>
          <w:sz w:val="28"/>
          <w:szCs w:val="28"/>
        </w:rPr>
        <w:t xml:space="preserve"> тыс. руб.</w:t>
      </w:r>
      <w:r w:rsidRPr="00AE431B">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7B579D">
        <w:rPr>
          <w:rFonts w:ascii="Times New Roman" w:hAnsi="Times New Roman" w:cs="Times New Roman"/>
          <w:sz w:val="28"/>
          <w:szCs w:val="28"/>
        </w:rPr>
        <w:t xml:space="preserve">23,3 </w:t>
      </w:r>
      <w:r>
        <w:rPr>
          <w:rFonts w:ascii="Times New Roman" w:hAnsi="Times New Roman" w:cs="Times New Roman"/>
          <w:sz w:val="28"/>
          <w:szCs w:val="28"/>
        </w:rPr>
        <w:t xml:space="preserve">процента от доходов без учета безвозмездных поступлений и поступлений дополнительного норматива </w:t>
      </w:r>
      <w:r>
        <w:rPr>
          <w:rFonts w:ascii="Times New Roman" w:hAnsi="Times New Roman" w:cs="Times New Roman"/>
          <w:sz w:val="28"/>
          <w:szCs w:val="28"/>
        </w:rPr>
        <w:lastRenderedPageBreak/>
        <w:t>отчислений от налога на доходы физических лиц.</w:t>
      </w:r>
    </w:p>
    <w:p w:rsidR="00974AA2" w:rsidRDefault="00974AA2" w:rsidP="002F26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По состоянию на 1 октября 2022 года отношение объема муниципального долга к утвержденной сумме налоговых и неналоговых доходов без учета безвозмездных поступлений и поступлений налоговых доходов по дополнительным нормативам отчислений от налога на доходы физических лиц составило </w:t>
      </w:r>
      <w:r w:rsidRPr="007B579D">
        <w:rPr>
          <w:rFonts w:ascii="Times New Roman" w:hAnsi="Times New Roman" w:cs="Times New Roman"/>
          <w:sz w:val="28"/>
          <w:szCs w:val="28"/>
        </w:rPr>
        <w:t>16,9</w:t>
      </w:r>
      <w:r w:rsidRPr="007109F3">
        <w:rPr>
          <w:rFonts w:ascii="Times New Roman" w:hAnsi="Times New Roman" w:cs="Times New Roman"/>
          <w:sz w:val="28"/>
          <w:szCs w:val="28"/>
        </w:rPr>
        <w:t xml:space="preserve"> </w:t>
      </w:r>
      <w:r>
        <w:rPr>
          <w:rFonts w:ascii="Times New Roman" w:hAnsi="Times New Roman" w:cs="Times New Roman"/>
          <w:sz w:val="28"/>
          <w:szCs w:val="28"/>
        </w:rPr>
        <w:t>процентов.</w:t>
      </w:r>
    </w:p>
    <w:p w:rsidR="00974AA2" w:rsidRDefault="00974AA2" w:rsidP="002F26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Условие соглашения с министерством финансов Нижегородской области о социально-экономическом развитии и оздоровлении муниципальных финансов бюджета городского округа город Бор Нижегородской области от 20 января 2022 года № СЭР-31-44/2022 об установлении на 2022 год доли объема муниципального долга не более 40 процентов общего годового объема доходов местного бюджета без учета объема безвозмездных поступлений и поступлений налоговых доходов по дополнительным нормативам отчислений от налога на доходы физических лиц выполняется.</w:t>
      </w:r>
    </w:p>
    <w:p w:rsidR="00974AA2" w:rsidRDefault="00974AA2" w:rsidP="00384A65">
      <w:pPr>
        <w:pStyle w:val="ConsPlusNormal"/>
        <w:tabs>
          <w:tab w:val="left" w:pos="1560"/>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Объем муниципального долга на 1 октября 2022 года составил </w:t>
      </w:r>
      <w:r w:rsidRPr="007B579D">
        <w:rPr>
          <w:rFonts w:ascii="Times New Roman" w:hAnsi="Times New Roman" w:cs="Times New Roman"/>
          <w:sz w:val="28"/>
          <w:szCs w:val="28"/>
        </w:rPr>
        <w:t>177 000,0</w:t>
      </w:r>
      <w:r>
        <w:rPr>
          <w:rFonts w:ascii="Times New Roman" w:hAnsi="Times New Roman" w:cs="Times New Roman"/>
          <w:sz w:val="28"/>
          <w:szCs w:val="28"/>
        </w:rPr>
        <w:t xml:space="preserve"> тыс. руб. – бюджетный кредит, предоставленный министерством финансов Нижегородской области на погашение долговых обязательств муниципального образования в виде обязательств по муниципальным ценным бумагам и кредитам, полученным от кредитных организаций бюджету городского округа город Бор.</w:t>
      </w:r>
    </w:p>
    <w:p w:rsidR="00974AA2" w:rsidRDefault="00974AA2" w:rsidP="002F26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По состоянию на 01 октября 2022 года бюджетные ассигнования на финансирование расходов на обслуживание муниципального долга на текущий финансовый год предусмотрены в общей сумме 6 468,2 тыс. руб., исполнение составило 1 544, 9 тыс. руб. (23,9 процента от утвержденных ассигнований на текущий год) или 0,2 процента от планового объема расходов городского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Условие, установленное статьей 111 Бюджетного кодекса Российской Федерации, по ограничению доли расходов на обслуживание муниципального долга от планового объема расходов городского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в размере 15 процентов выполняется.</w:t>
      </w:r>
    </w:p>
    <w:p w:rsidR="00974AA2" w:rsidRDefault="00974AA2" w:rsidP="00CB797E">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По состоянию на 1 октября 2022 года сумма платежей по погашению и обслуживанию муниципального долга, возникшего по состоянию на 1 января 2022 года, без учета платежей, направляемых на досрочное погашение долговых обязательств со сроками погашения после 1 января 2022 года, составила 178 544,9 тыс. руб. или 11,5 процентов к общему объему налоговых и неналоговых доходов городского бюджета и дотаций из бюджетов бюджетной системы Российской Федерации.</w:t>
      </w:r>
    </w:p>
    <w:p w:rsidR="00974AA2" w:rsidRDefault="00974AA2" w:rsidP="00A94F71">
      <w:pPr>
        <w:pStyle w:val="ConsPlusNormal"/>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2. Основные факторы, определяющие характер и направления</w:t>
      </w:r>
    </w:p>
    <w:p w:rsidR="00974AA2" w:rsidRDefault="00974AA2" w:rsidP="00A94F71">
      <w:pPr>
        <w:pStyle w:val="ConsPlusNormal"/>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долговой политики городского округа город Бор</w:t>
      </w:r>
    </w:p>
    <w:p w:rsidR="00974AA2" w:rsidRDefault="00974AA2" w:rsidP="00A94F71">
      <w:pPr>
        <w:pStyle w:val="ConsPlusNormal"/>
        <w:spacing w:line="276" w:lineRule="auto"/>
        <w:jc w:val="center"/>
        <w:rPr>
          <w:rFonts w:ascii="Times New Roman" w:hAnsi="Times New Roman" w:cs="Times New Roman"/>
          <w:b/>
          <w:bCs/>
          <w:sz w:val="28"/>
          <w:szCs w:val="28"/>
        </w:rPr>
      </w:pPr>
    </w:p>
    <w:p w:rsidR="00974AA2" w:rsidRDefault="00974AA2" w:rsidP="00066252">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2023 году и плановом периоде 2024 и 2025 годов долговая политика городского округа город Бор будет направлена на </w:t>
      </w:r>
      <w:r w:rsidRPr="007B579D">
        <w:rPr>
          <w:rFonts w:ascii="Times New Roman" w:hAnsi="Times New Roman" w:cs="Times New Roman"/>
          <w:sz w:val="28"/>
          <w:szCs w:val="28"/>
        </w:rPr>
        <w:t>предотвращение</w:t>
      </w:r>
      <w:r>
        <w:rPr>
          <w:rFonts w:ascii="Times New Roman" w:hAnsi="Times New Roman" w:cs="Times New Roman"/>
          <w:sz w:val="28"/>
          <w:szCs w:val="28"/>
        </w:rPr>
        <w:t xml:space="preserve"> увеличения объема муниципального долга к доходам без учета безвозмездных поступлений и поступлений дополнительного норматива отчислений от налога на доходы физических лиц, а также на равномерное распределение долговой нагрузки по годам.</w:t>
      </w:r>
    </w:p>
    <w:p w:rsidR="00974AA2" w:rsidRDefault="00974AA2" w:rsidP="00066252">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факторами, положительно влияющими на характер и направления долговой политики городского округа город Бор, являются:</w:t>
      </w:r>
    </w:p>
    <w:p w:rsidR="00974AA2" w:rsidRDefault="00974AA2" w:rsidP="00066252">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 возможное поступление налоговых и неналоговых доходов в бюджет городского округа сверх утвержденного плана, что позволит снизить объем муниципального долга на конец финансового года и долговую нагрузку на бюджет городского округа;</w:t>
      </w:r>
    </w:p>
    <w:p w:rsidR="00974AA2" w:rsidRDefault="00974AA2" w:rsidP="00066252">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2) возможный кассовый разрыв, при котором в течение финансового года возникают остатки средств на едином счете бюджета городского округа, что позволит снижать объем муниципального долга в течение финансового года с целью возникновения экономии по расходам на обслуживание муниципального долга;</w:t>
      </w:r>
    </w:p>
    <w:p w:rsidR="00974AA2" w:rsidRDefault="00974AA2" w:rsidP="00347D10">
      <w:pPr>
        <w:pStyle w:val="ConsPlusNormal"/>
        <w:spacing w:line="276" w:lineRule="auto"/>
        <w:ind w:firstLine="708"/>
        <w:jc w:val="both"/>
        <w:rPr>
          <w:rFonts w:ascii="Times New Roman" w:hAnsi="Times New Roman" w:cs="Times New Roman"/>
          <w:sz w:val="28"/>
          <w:szCs w:val="28"/>
        </w:rPr>
      </w:pPr>
      <w:r w:rsidRPr="00DE318A">
        <w:rPr>
          <w:rFonts w:ascii="Times New Roman" w:hAnsi="Times New Roman" w:cs="Times New Roman"/>
          <w:sz w:val="28"/>
          <w:szCs w:val="28"/>
        </w:rPr>
        <w:t>3) возможная денежно-кредитная политика Центрального банка Российской Федерации, направленная на снижение размера ключевой ставки Банка России, которая положительно сказывается на процентные ставки по кредитам от кредитных организаций.</w:t>
      </w:r>
    </w:p>
    <w:p w:rsidR="00974AA2" w:rsidRDefault="00974AA2" w:rsidP="00347D1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факторами, негативно влияющими на характер и направления долговой политики городского округа город Бор:</w:t>
      </w:r>
    </w:p>
    <w:p w:rsidR="00974AA2" w:rsidRDefault="00974AA2" w:rsidP="00347D1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 риски снижения налоговых и неналоговых доходов бюджета городского округа вследствие ухудшения общеэкономической ситуации в Нижегородской области и городском округе город Бор, изменения норм федерального и областного законодательства, влекущие за собой снижение доходов бюджета городского округа город Бор и (или) увеличение расходов городского бюджета, что может стать причиной роста объема муниципального долга на конец финансового года и долговой нагрузки на городской бюджет;</w:t>
      </w:r>
    </w:p>
    <w:p w:rsidR="00974AA2" w:rsidRDefault="00974AA2" w:rsidP="00347D1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2) риски роста процентных ставок, обусловленные как ухудшением экономической ситуации в стране, так и неблагоприятными внешнеполитическими факторами;</w:t>
      </w:r>
    </w:p>
    <w:p w:rsidR="00974AA2" w:rsidRDefault="00974AA2" w:rsidP="00347D1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3) денежно-кредитная политика Центрального банка Российской Федерации, направленная на повышение размера ключевой ставки Банка России, которая негативно сказывается на процентные ставки по кредитам от кредитных организаций;</w:t>
      </w:r>
    </w:p>
    <w:p w:rsidR="00974AA2" w:rsidRDefault="00974AA2" w:rsidP="002F26EF">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Накопление вышеперечисленных факторов может повлиять на уровень долговой нагрузки </w:t>
      </w:r>
      <w:r w:rsidRPr="007B579D">
        <w:rPr>
          <w:rFonts w:ascii="Times New Roman" w:hAnsi="Times New Roman" w:cs="Times New Roman"/>
          <w:sz w:val="28"/>
          <w:szCs w:val="28"/>
        </w:rPr>
        <w:t>и, как следствие,</w:t>
      </w:r>
      <w:r>
        <w:rPr>
          <w:rFonts w:ascii="Times New Roman" w:hAnsi="Times New Roman" w:cs="Times New Roman"/>
          <w:sz w:val="28"/>
          <w:szCs w:val="28"/>
        </w:rPr>
        <w:t xml:space="preserve"> дальнейший рост расходов на обслуживание муниципального долга.</w:t>
      </w:r>
    </w:p>
    <w:p w:rsidR="00974AA2" w:rsidRDefault="00974AA2" w:rsidP="002F26EF">
      <w:pPr>
        <w:pStyle w:val="ConsPlusNormal"/>
        <w:spacing w:line="276" w:lineRule="auto"/>
        <w:jc w:val="both"/>
        <w:rPr>
          <w:rFonts w:ascii="Times New Roman" w:hAnsi="Times New Roman" w:cs="Times New Roman"/>
          <w:sz w:val="28"/>
          <w:szCs w:val="28"/>
        </w:rPr>
      </w:pPr>
    </w:p>
    <w:p w:rsidR="00974AA2" w:rsidRDefault="00974AA2" w:rsidP="0072014C">
      <w:pPr>
        <w:pStyle w:val="ConsPlusNormal"/>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Цели и задачи долговой политики городского </w:t>
      </w:r>
    </w:p>
    <w:p w:rsidR="00974AA2" w:rsidRDefault="00974AA2" w:rsidP="00DE77C8">
      <w:pPr>
        <w:pStyle w:val="ConsPlusNormal"/>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округа город Бор на 2023 -2025 годы.</w:t>
      </w:r>
    </w:p>
    <w:p w:rsidR="00974AA2" w:rsidRPr="00DE77C8" w:rsidRDefault="00974AA2" w:rsidP="00DE77C8">
      <w:pPr>
        <w:pStyle w:val="ConsPlusNormal"/>
        <w:spacing w:line="276" w:lineRule="auto"/>
        <w:jc w:val="center"/>
        <w:rPr>
          <w:rFonts w:ascii="Times New Roman" w:hAnsi="Times New Roman" w:cs="Times New Roman"/>
          <w:b/>
          <w:bCs/>
          <w:sz w:val="28"/>
          <w:szCs w:val="28"/>
        </w:rPr>
      </w:pPr>
    </w:p>
    <w:p w:rsidR="00974AA2" w:rsidRDefault="00974AA2"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Целями долговой политики городского округа город Бор являются обеспечение устойчивого и сбалансированного исполнения бюджета городского округа</w:t>
      </w:r>
      <w:r w:rsidRPr="00AA0C8B">
        <w:rPr>
          <w:rFonts w:ascii="Times New Roman" w:hAnsi="Times New Roman" w:cs="Times New Roman"/>
          <w:sz w:val="28"/>
          <w:szCs w:val="28"/>
        </w:rPr>
        <w:t xml:space="preserve"> </w:t>
      </w:r>
      <w:r>
        <w:rPr>
          <w:rFonts w:ascii="Times New Roman" w:hAnsi="Times New Roman" w:cs="Times New Roman"/>
          <w:sz w:val="28"/>
          <w:szCs w:val="28"/>
        </w:rPr>
        <w:t xml:space="preserve">город Бор, сохранение безопасного уровня долговой нагрузки, исполнение принятых долговых обязательств, проведение взвешенной политики в области муниципальных заимствований, поддержание объема муниципального долга на экономически безопасном уровне </w:t>
      </w:r>
      <w:r w:rsidRPr="007B579D">
        <w:rPr>
          <w:rFonts w:ascii="Times New Roman" w:hAnsi="Times New Roman" w:cs="Times New Roman"/>
          <w:sz w:val="28"/>
          <w:szCs w:val="28"/>
        </w:rPr>
        <w:t>долговой устойчивости с учетом всех возможных рисков.</w:t>
      </w:r>
      <w:r>
        <w:rPr>
          <w:rFonts w:ascii="Times New Roman" w:hAnsi="Times New Roman" w:cs="Times New Roman"/>
          <w:sz w:val="28"/>
          <w:szCs w:val="28"/>
        </w:rPr>
        <w:t xml:space="preserve"> </w:t>
      </w:r>
    </w:p>
    <w:p w:rsidR="00974AA2" w:rsidRDefault="00974AA2"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задачами реализации долговой политики являются:</w:t>
      </w:r>
    </w:p>
    <w:p w:rsidR="00974AA2" w:rsidRDefault="00974AA2"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поддержание объема дефицита, объема муниципального долга в пределах ограничений, установленных Бюджетным кодексом Российской Федерации и Концепцией </w:t>
      </w:r>
      <w:r w:rsidRPr="00390078">
        <w:rPr>
          <w:rFonts w:ascii="Times New Roman" w:hAnsi="Times New Roman" w:cs="Times New Roman"/>
          <w:sz w:val="28"/>
          <w:szCs w:val="28"/>
        </w:rPr>
        <w:t>управления муниципальным долгом городского округа город Бор на период до 2025 года, утвержденной постановлением администрации городского округа город Бор от 10 июля 2018 года N 3929, а также заключенными соглашениями "О социально-экономическом развитии и оздоровлении муниципальных финансов бюджета городского округа город Бор Нижегородской области";</w:t>
      </w:r>
    </w:p>
    <w:p w:rsidR="00974AA2" w:rsidRDefault="00974AA2"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2) поддержание объема муниципального долга на экономически безопасном уровне долговой устойчивости с учетом всех возможных рисков;</w:t>
      </w:r>
    </w:p>
    <w:p w:rsidR="00974AA2" w:rsidRDefault="00974AA2"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3) повышение эффективности муниципальных заимствований городского округа город Бор, сокращение рисков, связанных с их осуществлением;</w:t>
      </w:r>
    </w:p>
    <w:p w:rsidR="00974AA2" w:rsidRDefault="00974AA2" w:rsidP="0072014C">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4) оптимизация структуры муниципального долга с целью минимизации стоимости его обслуживания, в том числе за счет частичного замещения рыночных долговых обязательств бюджетными кредитами из федерального и/или областного бюджетов;</w:t>
      </w:r>
    </w:p>
    <w:p w:rsidR="00974AA2" w:rsidRDefault="00974AA2" w:rsidP="00AE1380">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5) обеспечение открытости и прозрачности информации о муниципальном долге городского округа город Бор.</w:t>
      </w:r>
    </w:p>
    <w:p w:rsidR="00974AA2" w:rsidRDefault="00974AA2" w:rsidP="00AE1380">
      <w:pPr>
        <w:pStyle w:val="ConsPlusNormal"/>
        <w:spacing w:line="276" w:lineRule="auto"/>
        <w:ind w:firstLine="708"/>
        <w:jc w:val="both"/>
        <w:rPr>
          <w:rFonts w:ascii="Times New Roman" w:hAnsi="Times New Roman" w:cs="Times New Roman"/>
          <w:sz w:val="28"/>
          <w:szCs w:val="28"/>
        </w:rPr>
      </w:pPr>
    </w:p>
    <w:p w:rsidR="00974AA2" w:rsidRDefault="00974AA2" w:rsidP="0063756C">
      <w:pPr>
        <w:pStyle w:val="ConsPlusNormal"/>
        <w:spacing w:line="276"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4. Инструменты реализации долговой политики на 2023 – 2025 годы</w:t>
      </w:r>
    </w:p>
    <w:p w:rsidR="00974AA2" w:rsidRDefault="00974AA2" w:rsidP="0063756C">
      <w:pPr>
        <w:pStyle w:val="ConsPlusNormal"/>
        <w:spacing w:line="276" w:lineRule="auto"/>
        <w:ind w:firstLine="708"/>
        <w:jc w:val="center"/>
        <w:rPr>
          <w:rFonts w:ascii="Times New Roman" w:hAnsi="Times New Roman" w:cs="Times New Roman"/>
          <w:b/>
          <w:bCs/>
          <w:sz w:val="28"/>
          <w:szCs w:val="28"/>
        </w:rPr>
      </w:pPr>
    </w:p>
    <w:p w:rsidR="00974AA2" w:rsidRDefault="00974AA2" w:rsidP="00C35C44">
      <w:pPr>
        <w:pStyle w:val="ConsPlusNormal"/>
        <w:spacing w:line="276" w:lineRule="auto"/>
        <w:ind w:firstLine="708"/>
        <w:jc w:val="both"/>
        <w:rPr>
          <w:rFonts w:ascii="Times New Roman" w:hAnsi="Times New Roman" w:cs="Times New Roman"/>
          <w:sz w:val="28"/>
          <w:szCs w:val="28"/>
        </w:rPr>
      </w:pPr>
      <w:r w:rsidRPr="00C35C44">
        <w:rPr>
          <w:rFonts w:ascii="Times New Roman" w:hAnsi="Times New Roman" w:cs="Times New Roman"/>
          <w:sz w:val="28"/>
          <w:szCs w:val="28"/>
        </w:rPr>
        <w:t>Долговая политика городского округа город Бор</w:t>
      </w:r>
      <w:r>
        <w:rPr>
          <w:rFonts w:ascii="Times New Roman" w:hAnsi="Times New Roman" w:cs="Times New Roman"/>
          <w:sz w:val="28"/>
          <w:szCs w:val="28"/>
        </w:rPr>
        <w:t xml:space="preserve"> будет реализовываться с учетом норм, изложенных в Бюджетном кодексе Российской Федерации, постановлении Правительства Нижегородской области от 7 июля 2020 года          № 560 «Об утверждении Правил проведения оценки долговой устойчивости </w:t>
      </w:r>
      <w:r>
        <w:rPr>
          <w:rFonts w:ascii="Times New Roman" w:hAnsi="Times New Roman" w:cs="Times New Roman"/>
          <w:sz w:val="28"/>
          <w:szCs w:val="28"/>
        </w:rPr>
        <w:lastRenderedPageBreak/>
        <w:t>муниципальных образований Нижегородской области», решении Совета депутатов городского округа город Бор Нижегородской области от 28 июня 2022 года № 53 «Об утверждении положения о муниципальном долге городского округа город Бор Нижегородской области», постановлении Администрации городского округа город Бор от 10 июля 2018 года «О концепции управления муниципальным долгом городского округа город Бор на период до 2025 года».</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в целях обеспечения принципа сбалансированности и устойчивости бюджета области в 2023 - 2025 годах будет продолжена реализация Плана мероприятий по росту доходов, оптимизации расходов и совершенствованию долговой политики </w:t>
      </w:r>
      <w:r w:rsidRPr="007B579D">
        <w:rPr>
          <w:rFonts w:ascii="Times New Roman" w:hAnsi="Times New Roman" w:cs="Times New Roman"/>
          <w:sz w:val="28"/>
          <w:szCs w:val="28"/>
        </w:rPr>
        <w:t>городского округа город Бор</w:t>
      </w:r>
      <w:r>
        <w:rPr>
          <w:rFonts w:ascii="Times New Roman" w:hAnsi="Times New Roman" w:cs="Times New Roman"/>
          <w:sz w:val="28"/>
          <w:szCs w:val="28"/>
        </w:rPr>
        <w:t xml:space="preserve"> на 2020 – 2023 годы, утвержденного распоряжением Администрации городского округа город Бор Нижегородской области от 13 июля 2020 года № 233.</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Объемы и параметры муниципальных заимствований будут определяться в соответствии со статьей 107.1 Бюджетного кодекса Российской Федерации для отнесения городского округа город Бор к группе заемщиков с высоким уровнем долговой устойчивости, а именно:</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1) обеспечение не более 50 процентов объема муниципального долга к общему объему доходов бюджета городского округа без учета безвозмездных поступлений и поступлений налоговых доходов по дополнительным нормативам отчислений от налога на доходы физических лиц;</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2) обеспечение не более 15 процентов годовой суммы платежей по погашению и обслуживанию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городского округа и дотаций из бюджетной системы российской Федерации;</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7B579D">
        <w:rPr>
          <w:rFonts w:ascii="Times New Roman" w:hAnsi="Times New Roman" w:cs="Times New Roman"/>
          <w:sz w:val="28"/>
          <w:szCs w:val="28"/>
        </w:rPr>
        <w:t>обеспечение не более 5 процентов доли расходов на обслуживание муниципального долга бюджета городского округа в общем объеме расходов бюджета городского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предстоящем периоде долговая политика городского округа город Бор будет направлена на осуществление заимствований в объемах, необходимых для решения поставленных социально-экономических задач. </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Объем и параметры муниципальных заимствований будут определяться таким образом, чтобы обеспечивалась сбалансированность бюджета, оптимизировался график погашения основного долга, минимизировались расходы на обслуживание муниципального долга. </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действующим законодательством Российской Федерации будет использоваться механизм привлечения кредитов кредитных организаций на конкурентной основе по итогам проведенных электронных аукционов, в целях покрытия дефицита бюджета, погашения ранее привлеченных долговых обязательств в соответствии со сроками погашения, для досрочного замещения задолженности под меньшую процентную ставку, и в случае необходимости, для пополнения в течение финансового года остатков средств на счетах местного бюджета.</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Сохранится практика привлечения кредитов кредитных организаций в форме возобновляемых кредитных линий, что позволит привлекать и погашать кредитные ресурсы в кратчайшие сроки, а также обеспечит возможность экономии по расходам на обслуживание муниципального долга.</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В 2023 – 2025 годах будет продолжено взаимодействие с министерством финансов Нижегородской области по вопросам предоставления/реструктуризации бюджетных кредитов на частичное покрытие дефицита бюджета городского округа город Бор.</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муниципальных гарантий городского округа город Бор в 2023 – 2025 годах в виду больших финансово-экономических рисков не планируется.</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Информация о проводимой долговой политике является открытой и общедоступной. Соответствующие сведения предоставляются на сайте администрации городского округа город Бор Нижегородской области в информационно-телекоммуникационной сети «Интернет». Раскрытие информации о долговых обязательствах и проводимой заемной политике является важным элементом формирования благоприятной кредитной истории городского округа.</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мероприятиями повышения эффективности долговой политики городского округа город Бор являются:</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планирование и осуществление муниципальных заимствований городского округа город Бор исходя их графиков погашения долговых обязательств с учетом стоимости обслуживания, влияния на платежеспособность бюджета городского округа и оптимизации структуры муниципального долга городского округа город Бор;</w:t>
      </w:r>
    </w:p>
    <w:p w:rsidR="00974AA2" w:rsidRDefault="00974AA2" w:rsidP="00C35C4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проведение работы с кредитными организациями по снижению процентных ставок по ранее заключенным муниципальным контрактам;</w:t>
      </w:r>
    </w:p>
    <w:p w:rsidR="00974AA2" w:rsidRDefault="00974AA2" w:rsidP="00C31894">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мониторинг соответствия предельного уровня дефицита бюджета, муниципального долга городского округа город Бор ограничениям, установленным бюджетным законодательством Российской Федерации и муниципальными правовыми актами.</w:t>
      </w:r>
    </w:p>
    <w:p w:rsidR="00974AA2" w:rsidRDefault="00974AA2" w:rsidP="00C31894">
      <w:pPr>
        <w:pStyle w:val="ConsPlusNormal"/>
        <w:spacing w:line="276" w:lineRule="auto"/>
        <w:ind w:firstLine="708"/>
        <w:jc w:val="both"/>
        <w:rPr>
          <w:rFonts w:ascii="Times New Roman" w:hAnsi="Times New Roman" w:cs="Times New Roman"/>
          <w:sz w:val="28"/>
          <w:szCs w:val="28"/>
        </w:rPr>
      </w:pPr>
    </w:p>
    <w:p w:rsidR="00974AA2" w:rsidRDefault="00974AA2" w:rsidP="00C31894">
      <w:pPr>
        <w:pStyle w:val="ConsPlusNormal"/>
        <w:spacing w:line="276" w:lineRule="auto"/>
        <w:ind w:firstLine="708"/>
        <w:jc w:val="both"/>
        <w:rPr>
          <w:rFonts w:ascii="Times New Roman" w:hAnsi="Times New Roman" w:cs="Times New Roman"/>
          <w:sz w:val="28"/>
          <w:szCs w:val="28"/>
        </w:rPr>
      </w:pPr>
    </w:p>
    <w:p w:rsidR="00974AA2" w:rsidRDefault="00974AA2" w:rsidP="00B21D94">
      <w:pPr>
        <w:pStyle w:val="ConsPlusNormal"/>
        <w:spacing w:line="276"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5. Анализ рисков для бюджета городского округа город Бор, возникающих в процессе управления муниципальным долгом</w:t>
      </w:r>
    </w:p>
    <w:p w:rsidR="00974AA2" w:rsidRDefault="00974AA2" w:rsidP="00B21D94">
      <w:pPr>
        <w:pStyle w:val="ConsPlusNormal"/>
        <w:spacing w:line="276" w:lineRule="auto"/>
        <w:ind w:firstLine="708"/>
        <w:jc w:val="center"/>
        <w:rPr>
          <w:rFonts w:ascii="Times New Roman" w:hAnsi="Times New Roman" w:cs="Times New Roman"/>
          <w:b/>
          <w:bCs/>
          <w:sz w:val="28"/>
          <w:szCs w:val="28"/>
        </w:rPr>
      </w:pPr>
    </w:p>
    <w:p w:rsidR="00974AA2" w:rsidRDefault="00974AA2"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b/>
          <w:bCs/>
          <w:sz w:val="28"/>
          <w:szCs w:val="28"/>
        </w:rPr>
        <w:tab/>
      </w:r>
      <w:r w:rsidRPr="00D04A39">
        <w:rPr>
          <w:rFonts w:ascii="Times New Roman" w:hAnsi="Times New Roman" w:cs="Times New Roman"/>
          <w:sz w:val="28"/>
          <w:szCs w:val="28"/>
        </w:rPr>
        <w:t>Основными рисками, связанными с управлением муниципальным долгом, являются:</w:t>
      </w:r>
    </w:p>
    <w:p w:rsidR="00974AA2" w:rsidRDefault="00974AA2"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1) риск невозможности рефинансирования действующих долговых обязательств с истекающими сроками погашения на приемлемых условиях.</w:t>
      </w:r>
    </w:p>
    <w:p w:rsidR="00974AA2" w:rsidRDefault="00974AA2"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В условиях нестабильности на финансовых рынках может возникнуть ситуация, когда кредиторы могут отказаться от предоставления новых займов, с учетом того, что условия, предлагаемые городским округом¸ будут являться экономически невыгодными.</w:t>
      </w:r>
    </w:p>
    <w:p w:rsidR="00974AA2" w:rsidRDefault="00974AA2"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Для управления рисками, связанными со способностью городского округа своевременно исполнять свои долговые обязательства, будет осуществляться мониторинг конъюнктуры финансовых рынков с целью анализа перспективы рефинансирования имеющихся обязательств. Для равномерного распределения объемов погашения по годам будут привлекаться среднесрочные и долгосрочные муниципальные заимствования.</w:t>
      </w:r>
    </w:p>
    <w:p w:rsidR="00974AA2" w:rsidRDefault="00974AA2"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2) риск увеличения суммы расходов на обслуживание долга вследствие повышения процентных ставок по кредитам от кредитных организаций.</w:t>
      </w:r>
    </w:p>
    <w:p w:rsidR="00974AA2" w:rsidRDefault="00974AA2"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В процессе управления процентными рисками, влияющими на стоимость заимствований, будет производиться мониторинг ситуации на финансовых рынках на постоянной основе и учет прогноза изменения процентных ставок на финансовом рынке (в том числе ключевой ставки Центрального банка Российской Федерации) при планировании расходов на обслуживание муниципального долга. При мониторинге будут использоваться в том числе данные сайта Единой информационной системы в сфере закупок.</w:t>
      </w:r>
    </w:p>
    <w:p w:rsidR="00974AA2" w:rsidRDefault="00974AA2"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3) изменение норм федерального и областного законодательства, влекущие за собой снижение доходов городского округа город Бор и (или) увеличение расходов бюджета городского округа;</w:t>
      </w:r>
    </w:p>
    <w:p w:rsidR="00974AA2" w:rsidRDefault="00974AA2" w:rsidP="00D04A3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4) риск недостижения утвержденных годовых объемов поступлений налоговых и неналоговых доходов бюджета, в том числе в связи с ухудшением общеэкономической ситуации в Нижегородской области и городском округе;</w:t>
      </w:r>
    </w:p>
    <w:p w:rsidR="00974AA2" w:rsidRPr="00C35C44" w:rsidRDefault="00974AA2" w:rsidP="00CB797E">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ab/>
        <w:t>Указанные выше риски должны снижаться путем обеспечения системы постоянного контроля за соблюдением нормативных правовых актов.</w:t>
      </w:r>
    </w:p>
    <w:p w:rsidR="00974AA2" w:rsidRDefault="00974AA2" w:rsidP="0063756C">
      <w:pPr>
        <w:pStyle w:val="ConsPlusNormal"/>
        <w:spacing w:line="276" w:lineRule="auto"/>
        <w:ind w:firstLine="708"/>
        <w:jc w:val="center"/>
        <w:rPr>
          <w:rFonts w:ascii="Times New Roman" w:hAnsi="Times New Roman" w:cs="Times New Roman"/>
          <w:b/>
          <w:bCs/>
          <w:sz w:val="28"/>
          <w:szCs w:val="28"/>
        </w:rPr>
      </w:pPr>
    </w:p>
    <w:tbl>
      <w:tblPr>
        <w:tblW w:w="9615" w:type="dxa"/>
        <w:tblInd w:w="2" w:type="dxa"/>
        <w:tblBorders>
          <w:top w:val="single" w:sz="4" w:space="0" w:color="auto"/>
        </w:tblBorders>
        <w:tblLook w:val="0000"/>
      </w:tblPr>
      <w:tblGrid>
        <w:gridCol w:w="9615"/>
      </w:tblGrid>
      <w:tr w:rsidR="00974AA2">
        <w:trPr>
          <w:trHeight w:val="100"/>
        </w:trPr>
        <w:tc>
          <w:tcPr>
            <w:tcW w:w="9615" w:type="dxa"/>
            <w:tcBorders>
              <w:top w:val="single" w:sz="4" w:space="0" w:color="auto"/>
            </w:tcBorders>
          </w:tcPr>
          <w:p w:rsidR="00974AA2" w:rsidRDefault="00974AA2" w:rsidP="0063756C">
            <w:pPr>
              <w:pStyle w:val="ConsPlusNormal"/>
              <w:spacing w:line="276" w:lineRule="auto"/>
              <w:jc w:val="center"/>
              <w:rPr>
                <w:rFonts w:ascii="Times New Roman" w:hAnsi="Times New Roman" w:cs="Times New Roman"/>
                <w:b/>
                <w:bCs/>
                <w:sz w:val="28"/>
                <w:szCs w:val="28"/>
              </w:rPr>
            </w:pPr>
          </w:p>
        </w:tc>
      </w:tr>
    </w:tbl>
    <w:p w:rsidR="00974AA2" w:rsidRDefault="00974AA2" w:rsidP="007B579D">
      <w:pPr>
        <w:rPr>
          <w:rFonts w:ascii="Times New Roman" w:hAnsi="Times New Roman" w:cs="Times New Roman"/>
          <w:b/>
          <w:bCs/>
          <w:sz w:val="28"/>
          <w:szCs w:val="28"/>
        </w:rPr>
      </w:pPr>
      <w:bookmarkStart w:id="1" w:name="_GoBack"/>
      <w:bookmarkEnd w:id="1"/>
    </w:p>
    <w:p w:rsidR="00974AA2" w:rsidRDefault="00974AA2" w:rsidP="007B579D">
      <w:pPr>
        <w:rPr>
          <w:rFonts w:ascii="Times New Roman" w:hAnsi="Times New Roman" w:cs="Times New Roman"/>
          <w:sz w:val="28"/>
          <w:szCs w:val="28"/>
        </w:rPr>
      </w:pPr>
    </w:p>
    <w:p w:rsidR="00974AA2" w:rsidRDefault="00974AA2" w:rsidP="007B579D">
      <w:pPr>
        <w:rPr>
          <w:rFonts w:ascii="Times New Roman" w:hAnsi="Times New Roman" w:cs="Times New Roman"/>
          <w:sz w:val="28"/>
          <w:szCs w:val="28"/>
        </w:rPr>
      </w:pPr>
    </w:p>
    <w:sectPr w:rsidR="00974AA2" w:rsidSect="00D86331">
      <w:pgSz w:w="11906" w:h="16838"/>
      <w:pgMar w:top="851" w:right="851" w:bottom="992" w:left="1418"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C88" w:rsidRDefault="00EA1C88" w:rsidP="007109F3">
      <w:r>
        <w:separator/>
      </w:r>
    </w:p>
  </w:endnote>
  <w:endnote w:type="continuationSeparator" w:id="1">
    <w:p w:rsidR="00EA1C88" w:rsidRDefault="00EA1C88" w:rsidP="00710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C88" w:rsidRDefault="00EA1C88" w:rsidP="007109F3">
      <w:r>
        <w:separator/>
      </w:r>
    </w:p>
  </w:footnote>
  <w:footnote w:type="continuationSeparator" w:id="1">
    <w:p w:rsidR="00EA1C88" w:rsidRDefault="00EA1C88" w:rsidP="007109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34E0E"/>
    <w:multiLevelType w:val="hybridMultilevel"/>
    <w:tmpl w:val="C2CE049C"/>
    <w:lvl w:ilvl="0" w:tplc="58D2E15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7C5837"/>
    <w:rsid w:val="0000298F"/>
    <w:rsid w:val="000228F8"/>
    <w:rsid w:val="00066252"/>
    <w:rsid w:val="00076886"/>
    <w:rsid w:val="00092C09"/>
    <w:rsid w:val="000A623D"/>
    <w:rsid w:val="000D142F"/>
    <w:rsid w:val="00102D38"/>
    <w:rsid w:val="00123E27"/>
    <w:rsid w:val="001330DD"/>
    <w:rsid w:val="001355CA"/>
    <w:rsid w:val="00141BE4"/>
    <w:rsid w:val="001548A3"/>
    <w:rsid w:val="00163E51"/>
    <w:rsid w:val="00170132"/>
    <w:rsid w:val="00171A6A"/>
    <w:rsid w:val="001C498F"/>
    <w:rsid w:val="001D11D6"/>
    <w:rsid w:val="001D18AB"/>
    <w:rsid w:val="001E7490"/>
    <w:rsid w:val="00214EFE"/>
    <w:rsid w:val="00226428"/>
    <w:rsid w:val="002452EC"/>
    <w:rsid w:val="0026419D"/>
    <w:rsid w:val="002724E2"/>
    <w:rsid w:val="002744E0"/>
    <w:rsid w:val="00285130"/>
    <w:rsid w:val="00286367"/>
    <w:rsid w:val="002A35E6"/>
    <w:rsid w:val="002D280A"/>
    <w:rsid w:val="002E49CC"/>
    <w:rsid w:val="002F26EF"/>
    <w:rsid w:val="002F3B93"/>
    <w:rsid w:val="002F4BE9"/>
    <w:rsid w:val="002F579F"/>
    <w:rsid w:val="00305713"/>
    <w:rsid w:val="00321BC1"/>
    <w:rsid w:val="00342EC3"/>
    <w:rsid w:val="003453BE"/>
    <w:rsid w:val="00347D10"/>
    <w:rsid w:val="00376E51"/>
    <w:rsid w:val="00384A65"/>
    <w:rsid w:val="00386596"/>
    <w:rsid w:val="00390078"/>
    <w:rsid w:val="003F1C16"/>
    <w:rsid w:val="004005A2"/>
    <w:rsid w:val="00424EA0"/>
    <w:rsid w:val="004258C5"/>
    <w:rsid w:val="0043256B"/>
    <w:rsid w:val="0044171C"/>
    <w:rsid w:val="00455D3B"/>
    <w:rsid w:val="00471F46"/>
    <w:rsid w:val="00476395"/>
    <w:rsid w:val="00476E19"/>
    <w:rsid w:val="00481AEF"/>
    <w:rsid w:val="00482354"/>
    <w:rsid w:val="004A7D61"/>
    <w:rsid w:val="004B2D4F"/>
    <w:rsid w:val="004C0D1D"/>
    <w:rsid w:val="004E0438"/>
    <w:rsid w:val="004E1CA6"/>
    <w:rsid w:val="004F2059"/>
    <w:rsid w:val="005344D7"/>
    <w:rsid w:val="005476E5"/>
    <w:rsid w:val="0055680D"/>
    <w:rsid w:val="005951A7"/>
    <w:rsid w:val="005A13D7"/>
    <w:rsid w:val="005B5A39"/>
    <w:rsid w:val="005C2B9F"/>
    <w:rsid w:val="005E4BA6"/>
    <w:rsid w:val="005F3E71"/>
    <w:rsid w:val="005F517D"/>
    <w:rsid w:val="00633BCD"/>
    <w:rsid w:val="00634B20"/>
    <w:rsid w:val="0063756C"/>
    <w:rsid w:val="006408BE"/>
    <w:rsid w:val="0064726B"/>
    <w:rsid w:val="00652927"/>
    <w:rsid w:val="00655C05"/>
    <w:rsid w:val="00656DE9"/>
    <w:rsid w:val="00670339"/>
    <w:rsid w:val="00693967"/>
    <w:rsid w:val="006A02B2"/>
    <w:rsid w:val="006A040E"/>
    <w:rsid w:val="006A0B7C"/>
    <w:rsid w:val="006D37FC"/>
    <w:rsid w:val="006E4012"/>
    <w:rsid w:val="006F2A1D"/>
    <w:rsid w:val="00703063"/>
    <w:rsid w:val="007109F3"/>
    <w:rsid w:val="00716A54"/>
    <w:rsid w:val="0072014C"/>
    <w:rsid w:val="007262A8"/>
    <w:rsid w:val="007333BD"/>
    <w:rsid w:val="007357A7"/>
    <w:rsid w:val="00735951"/>
    <w:rsid w:val="00741DBD"/>
    <w:rsid w:val="00757702"/>
    <w:rsid w:val="00767235"/>
    <w:rsid w:val="0078398B"/>
    <w:rsid w:val="00795774"/>
    <w:rsid w:val="007A281A"/>
    <w:rsid w:val="007A3967"/>
    <w:rsid w:val="007B579D"/>
    <w:rsid w:val="007C5837"/>
    <w:rsid w:val="007C6334"/>
    <w:rsid w:val="007F1B0E"/>
    <w:rsid w:val="00816C15"/>
    <w:rsid w:val="00837812"/>
    <w:rsid w:val="00857040"/>
    <w:rsid w:val="00877CBD"/>
    <w:rsid w:val="008A1B9E"/>
    <w:rsid w:val="00906A71"/>
    <w:rsid w:val="00916555"/>
    <w:rsid w:val="0093177B"/>
    <w:rsid w:val="00942AB8"/>
    <w:rsid w:val="00953CFC"/>
    <w:rsid w:val="009636E3"/>
    <w:rsid w:val="00974AA2"/>
    <w:rsid w:val="009814EC"/>
    <w:rsid w:val="009929EF"/>
    <w:rsid w:val="00993C3F"/>
    <w:rsid w:val="00995A0B"/>
    <w:rsid w:val="009A036A"/>
    <w:rsid w:val="009B575B"/>
    <w:rsid w:val="009C6E23"/>
    <w:rsid w:val="009D506C"/>
    <w:rsid w:val="009F6D89"/>
    <w:rsid w:val="009F72D5"/>
    <w:rsid w:val="00A00BD3"/>
    <w:rsid w:val="00A03ACC"/>
    <w:rsid w:val="00A2389C"/>
    <w:rsid w:val="00A26BC3"/>
    <w:rsid w:val="00A302EC"/>
    <w:rsid w:val="00A558CC"/>
    <w:rsid w:val="00A7668A"/>
    <w:rsid w:val="00A94F71"/>
    <w:rsid w:val="00A95310"/>
    <w:rsid w:val="00AA0C8B"/>
    <w:rsid w:val="00AA1AE7"/>
    <w:rsid w:val="00AA3542"/>
    <w:rsid w:val="00AB4CFC"/>
    <w:rsid w:val="00AC7F45"/>
    <w:rsid w:val="00AE1380"/>
    <w:rsid w:val="00AE34B0"/>
    <w:rsid w:val="00AE431B"/>
    <w:rsid w:val="00AE4FB5"/>
    <w:rsid w:val="00AF206E"/>
    <w:rsid w:val="00B07259"/>
    <w:rsid w:val="00B21D94"/>
    <w:rsid w:val="00B22D71"/>
    <w:rsid w:val="00B74F94"/>
    <w:rsid w:val="00B82D19"/>
    <w:rsid w:val="00BB7E18"/>
    <w:rsid w:val="00BC0A97"/>
    <w:rsid w:val="00BD0D2B"/>
    <w:rsid w:val="00BD288E"/>
    <w:rsid w:val="00BE0118"/>
    <w:rsid w:val="00BF4A41"/>
    <w:rsid w:val="00BF5092"/>
    <w:rsid w:val="00C17E11"/>
    <w:rsid w:val="00C245B7"/>
    <w:rsid w:val="00C31894"/>
    <w:rsid w:val="00C35C44"/>
    <w:rsid w:val="00C45CC8"/>
    <w:rsid w:val="00C52292"/>
    <w:rsid w:val="00C54119"/>
    <w:rsid w:val="00C61248"/>
    <w:rsid w:val="00C96F06"/>
    <w:rsid w:val="00CB298B"/>
    <w:rsid w:val="00CB62A2"/>
    <w:rsid w:val="00CB7433"/>
    <w:rsid w:val="00CB797E"/>
    <w:rsid w:val="00CC0320"/>
    <w:rsid w:val="00CE7BC7"/>
    <w:rsid w:val="00D04A39"/>
    <w:rsid w:val="00D34BD6"/>
    <w:rsid w:val="00D44A06"/>
    <w:rsid w:val="00D67A08"/>
    <w:rsid w:val="00D86331"/>
    <w:rsid w:val="00D94987"/>
    <w:rsid w:val="00DA50B5"/>
    <w:rsid w:val="00DC3FE5"/>
    <w:rsid w:val="00DE318A"/>
    <w:rsid w:val="00DE513B"/>
    <w:rsid w:val="00DE7571"/>
    <w:rsid w:val="00DE77C8"/>
    <w:rsid w:val="00DF5FD7"/>
    <w:rsid w:val="00E01F54"/>
    <w:rsid w:val="00E04315"/>
    <w:rsid w:val="00E05EE0"/>
    <w:rsid w:val="00E22A2E"/>
    <w:rsid w:val="00E22F4A"/>
    <w:rsid w:val="00E53107"/>
    <w:rsid w:val="00E56FF6"/>
    <w:rsid w:val="00E80B99"/>
    <w:rsid w:val="00E9533F"/>
    <w:rsid w:val="00EA1C88"/>
    <w:rsid w:val="00EA3C1E"/>
    <w:rsid w:val="00EB1036"/>
    <w:rsid w:val="00EB482B"/>
    <w:rsid w:val="00EC58EF"/>
    <w:rsid w:val="00ED40D7"/>
    <w:rsid w:val="00F1704A"/>
    <w:rsid w:val="00F54FA5"/>
    <w:rsid w:val="00F75C86"/>
    <w:rsid w:val="00F95FCF"/>
    <w:rsid w:val="00FA3D93"/>
    <w:rsid w:val="00FB73FC"/>
    <w:rsid w:val="00FC4BA4"/>
    <w:rsid w:val="00FF4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837"/>
    <w:pPr>
      <w:autoSpaceDE w:val="0"/>
      <w:autoSpaceDN w:val="0"/>
    </w:pPr>
    <w:rPr>
      <w:rFonts w:ascii="Arial" w:eastAsia="Times New Roman"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7C5837"/>
    <w:pPr>
      <w:autoSpaceDE w:val="0"/>
      <w:autoSpaceDN w:val="0"/>
    </w:pPr>
    <w:rPr>
      <w:rFonts w:ascii="Arial" w:eastAsia="Times New Roman" w:hAnsi="Arial" w:cs="Arial"/>
      <w:b/>
      <w:bCs/>
      <w:sz w:val="22"/>
      <w:szCs w:val="22"/>
    </w:rPr>
  </w:style>
  <w:style w:type="paragraph" w:customStyle="1" w:styleId="ConsPlusTitle">
    <w:name w:val="ConsPlusTitle"/>
    <w:uiPriority w:val="99"/>
    <w:rsid w:val="007C5837"/>
    <w:pPr>
      <w:widowControl w:val="0"/>
      <w:autoSpaceDE w:val="0"/>
      <w:autoSpaceDN w:val="0"/>
    </w:pPr>
    <w:rPr>
      <w:rFonts w:eastAsia="Times New Roman" w:cs="Calibri"/>
      <w:b/>
      <w:bCs/>
      <w:sz w:val="22"/>
      <w:szCs w:val="22"/>
    </w:rPr>
  </w:style>
  <w:style w:type="paragraph" w:customStyle="1" w:styleId="ConsPlusNormal">
    <w:name w:val="ConsPlusNormal"/>
    <w:uiPriority w:val="99"/>
    <w:rsid w:val="00E80B99"/>
    <w:pPr>
      <w:widowControl w:val="0"/>
      <w:autoSpaceDE w:val="0"/>
      <w:autoSpaceDN w:val="0"/>
    </w:pPr>
    <w:rPr>
      <w:rFonts w:eastAsia="Times New Roman" w:cs="Calibri"/>
      <w:sz w:val="22"/>
      <w:szCs w:val="22"/>
    </w:rPr>
  </w:style>
  <w:style w:type="character" w:styleId="a3">
    <w:name w:val="Hyperlink"/>
    <w:basedOn w:val="a0"/>
    <w:uiPriority w:val="99"/>
    <w:rsid w:val="00ED40D7"/>
    <w:rPr>
      <w:color w:val="auto"/>
      <w:u w:val="single"/>
    </w:rPr>
  </w:style>
  <w:style w:type="paragraph" w:styleId="a4">
    <w:name w:val="List Paragraph"/>
    <w:basedOn w:val="a"/>
    <w:uiPriority w:val="99"/>
    <w:qFormat/>
    <w:rsid w:val="00652927"/>
    <w:pPr>
      <w:autoSpaceDE/>
      <w:autoSpaceDN/>
      <w:spacing w:after="200" w:line="276" w:lineRule="auto"/>
      <w:ind w:left="720"/>
    </w:pPr>
    <w:rPr>
      <w:rFonts w:ascii="Calibri" w:eastAsia="Calibri" w:hAnsi="Calibri" w:cs="Calibri"/>
      <w:sz w:val="22"/>
      <w:szCs w:val="22"/>
      <w:lang w:eastAsia="en-US"/>
    </w:rPr>
  </w:style>
  <w:style w:type="paragraph" w:styleId="a5">
    <w:name w:val="Balloon Text"/>
    <w:basedOn w:val="a"/>
    <w:link w:val="a6"/>
    <w:uiPriority w:val="99"/>
    <w:semiHidden/>
    <w:rsid w:val="00214EFE"/>
    <w:rPr>
      <w:rFonts w:ascii="Segoe UI" w:hAnsi="Segoe UI" w:cs="Segoe UI"/>
    </w:rPr>
  </w:style>
  <w:style w:type="character" w:customStyle="1" w:styleId="a6">
    <w:name w:val="Текст выноски Знак"/>
    <w:basedOn w:val="a0"/>
    <w:link w:val="a5"/>
    <w:uiPriority w:val="99"/>
    <w:semiHidden/>
    <w:locked/>
    <w:rsid w:val="00214EFE"/>
    <w:rPr>
      <w:rFonts w:ascii="Segoe UI" w:hAnsi="Segoe UI" w:cs="Segoe UI"/>
      <w:sz w:val="18"/>
      <w:szCs w:val="18"/>
      <w:lang w:eastAsia="ru-RU"/>
    </w:rPr>
  </w:style>
  <w:style w:type="paragraph" w:styleId="a7">
    <w:name w:val="header"/>
    <w:basedOn w:val="a"/>
    <w:link w:val="a8"/>
    <w:uiPriority w:val="99"/>
    <w:rsid w:val="007109F3"/>
    <w:pPr>
      <w:tabs>
        <w:tab w:val="center" w:pos="4677"/>
        <w:tab w:val="right" w:pos="9355"/>
      </w:tabs>
    </w:pPr>
  </w:style>
  <w:style w:type="character" w:customStyle="1" w:styleId="a8">
    <w:name w:val="Верхний колонтитул Знак"/>
    <w:basedOn w:val="a0"/>
    <w:link w:val="a7"/>
    <w:uiPriority w:val="99"/>
    <w:locked/>
    <w:rsid w:val="007109F3"/>
    <w:rPr>
      <w:rFonts w:ascii="Arial" w:hAnsi="Arial" w:cs="Arial"/>
      <w:sz w:val="18"/>
      <w:szCs w:val="18"/>
      <w:lang w:eastAsia="ru-RU"/>
    </w:rPr>
  </w:style>
  <w:style w:type="paragraph" w:styleId="a9">
    <w:name w:val="footer"/>
    <w:basedOn w:val="a"/>
    <w:link w:val="aa"/>
    <w:uiPriority w:val="99"/>
    <w:rsid w:val="007109F3"/>
    <w:pPr>
      <w:tabs>
        <w:tab w:val="center" w:pos="4677"/>
        <w:tab w:val="right" w:pos="9355"/>
      </w:tabs>
    </w:pPr>
  </w:style>
  <w:style w:type="character" w:customStyle="1" w:styleId="aa">
    <w:name w:val="Нижний колонтитул Знак"/>
    <w:basedOn w:val="a0"/>
    <w:link w:val="a9"/>
    <w:uiPriority w:val="99"/>
    <w:locked/>
    <w:rsid w:val="007109F3"/>
    <w:rPr>
      <w:rFonts w:ascii="Arial" w:hAnsi="Arial" w:cs="Arial"/>
      <w:sz w:val="18"/>
      <w:szCs w:val="18"/>
      <w:lang w:eastAsia="ru-RU"/>
    </w:rPr>
  </w:style>
  <w:style w:type="character" w:styleId="ab">
    <w:name w:val="line number"/>
    <w:basedOn w:val="a0"/>
    <w:uiPriority w:val="99"/>
    <w:semiHidden/>
    <w:rsid w:val="007109F3"/>
    <w:rPr>
      <w:rFonts w:cs="Times New Roman"/>
    </w:rPr>
  </w:style>
  <w:style w:type="character" w:styleId="ac">
    <w:name w:val="annotation reference"/>
    <w:basedOn w:val="a0"/>
    <w:uiPriority w:val="99"/>
    <w:semiHidden/>
    <w:rsid w:val="00735951"/>
    <w:rPr>
      <w:rFonts w:cs="Times New Roman"/>
      <w:sz w:val="16"/>
      <w:szCs w:val="16"/>
    </w:rPr>
  </w:style>
  <w:style w:type="paragraph" w:styleId="ad">
    <w:name w:val="annotation text"/>
    <w:basedOn w:val="a"/>
    <w:link w:val="ae"/>
    <w:uiPriority w:val="99"/>
    <w:semiHidden/>
    <w:rsid w:val="00735951"/>
    <w:rPr>
      <w:sz w:val="20"/>
      <w:szCs w:val="20"/>
    </w:rPr>
  </w:style>
  <w:style w:type="character" w:customStyle="1" w:styleId="ae">
    <w:name w:val="Текст примечания Знак"/>
    <w:basedOn w:val="a0"/>
    <w:link w:val="ad"/>
    <w:uiPriority w:val="99"/>
    <w:semiHidden/>
    <w:locked/>
    <w:rsid w:val="00735951"/>
    <w:rPr>
      <w:rFonts w:ascii="Arial" w:hAnsi="Arial" w:cs="Arial"/>
      <w:sz w:val="20"/>
      <w:szCs w:val="20"/>
      <w:lang w:eastAsia="ru-RU"/>
    </w:rPr>
  </w:style>
  <w:style w:type="paragraph" w:styleId="af">
    <w:name w:val="annotation subject"/>
    <w:basedOn w:val="ad"/>
    <w:next w:val="ad"/>
    <w:link w:val="af0"/>
    <w:uiPriority w:val="99"/>
    <w:semiHidden/>
    <w:rsid w:val="00735951"/>
    <w:rPr>
      <w:b/>
      <w:bCs/>
    </w:rPr>
  </w:style>
  <w:style w:type="character" w:customStyle="1" w:styleId="af0">
    <w:name w:val="Тема примечания Знак"/>
    <w:basedOn w:val="ae"/>
    <w:link w:val="af"/>
    <w:uiPriority w:val="99"/>
    <w:semiHidden/>
    <w:locked/>
    <w:rsid w:val="00735951"/>
    <w:rPr>
      <w:b/>
      <w:bCs/>
    </w:rPr>
  </w:style>
</w:styles>
</file>

<file path=word/webSettings.xml><?xml version="1.0" encoding="utf-8"?>
<w:webSettings xmlns:r="http://schemas.openxmlformats.org/officeDocument/2006/relationships" xmlns:w="http://schemas.openxmlformats.org/wordprocessingml/2006/main">
  <w:divs>
    <w:div w:id="140658964">
      <w:marLeft w:val="0"/>
      <w:marRight w:val="0"/>
      <w:marTop w:val="0"/>
      <w:marBottom w:val="0"/>
      <w:divBdr>
        <w:top w:val="none" w:sz="0" w:space="0" w:color="auto"/>
        <w:left w:val="none" w:sz="0" w:space="0" w:color="auto"/>
        <w:bottom w:val="none" w:sz="0" w:space="0" w:color="auto"/>
        <w:right w:val="none" w:sz="0" w:space="0" w:color="auto"/>
      </w:divBdr>
    </w:div>
    <w:div w:id="140658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BD8F0806C2BA8E775BCA2359E976E2437B8E748EEF202FFA1625D514F0D9BD9BA371315363973DF35C66780E11D4A661FFCBE3AC3F3IDl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2902</Words>
  <Characters>16547</Characters>
  <Application>Microsoft Office Word</Application>
  <DocSecurity>0</DocSecurity>
  <Lines>137</Lines>
  <Paragraphs>38</Paragraphs>
  <ScaleCrop>false</ScaleCrop>
  <Company>SPecialiST RePack</Company>
  <LinksUpToDate>false</LinksUpToDate>
  <CharactersWithSpaces>19411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KOLESOV</dc:creator>
  <cp:lastModifiedBy>Admin</cp:lastModifiedBy>
  <cp:revision>2</cp:revision>
  <cp:lastPrinted>2022-11-03T09:42:00Z</cp:lastPrinted>
  <dcterms:created xsi:type="dcterms:W3CDTF">2022-11-21T06:22:00Z</dcterms:created>
  <dcterms:modified xsi:type="dcterms:W3CDTF">2022-11-21T06:22:00Z</dcterms:modified>
</cp:coreProperties>
</file>